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9C8C324">
      <w:pPr>
        <w:tabs>
          <w:tab w:val="left" w:pos="8820"/>
        </w:tabs>
        <w:spacing w:line="269" w:lineRule="auto"/>
        <w:ind w:firstLine="0" w:firstLineChars="0"/>
        <w:jc w:val="right"/>
        <w:rPr>
          <w:rFonts w:hint="default" w:ascii="仿宋" w:hAnsi="仿宋" w:eastAsia="仿宋" w:cs="仿宋"/>
          <w:highlight w:val="none"/>
          <w:lang w:val="en-US" w:eastAsia="zh-CN"/>
        </w:rPr>
      </w:pPr>
      <w:r>
        <w:rPr>
          <w:rFonts w:hint="eastAsia" w:ascii="仿宋" w:hAnsi="仿宋" w:eastAsia="仿宋" w:cs="仿宋"/>
          <w:highlight w:val="none"/>
        </w:rPr>
        <w:t>报告编号：</w:t>
      </w:r>
      <w:r>
        <w:rPr>
          <w:rFonts w:hint="eastAsia" w:ascii="仿宋" w:hAnsi="仿宋" w:eastAsia="仿宋" w:cs="仿宋"/>
          <w:highlight w:val="none"/>
          <w:lang w:val="en-US" w:eastAsia="zh-CN"/>
        </w:rPr>
        <w:t>SDYC</w:t>
      </w:r>
      <w:r>
        <w:rPr>
          <w:rFonts w:hint="eastAsia" w:ascii="仿宋" w:hAnsi="仿宋" w:eastAsia="仿宋" w:cs="仿宋"/>
          <w:highlight w:val="none"/>
        </w:rPr>
        <w:t>-WHKJ-2024-</w:t>
      </w:r>
      <w:r>
        <w:rPr>
          <w:rFonts w:hint="eastAsia" w:ascii="仿宋" w:hAnsi="仿宋" w:eastAsia="仿宋" w:cs="仿宋"/>
          <w:highlight w:val="none"/>
          <w:lang w:val="en-US" w:eastAsia="zh-CN"/>
        </w:rPr>
        <w:t>01</w:t>
      </w:r>
    </w:p>
    <w:p w14:paraId="4FA7776A">
      <w:pPr>
        <w:tabs>
          <w:tab w:val="left" w:pos="8820"/>
        </w:tabs>
        <w:wordWrap w:val="0"/>
        <w:spacing w:line="269" w:lineRule="auto"/>
        <w:jc w:val="center"/>
        <w:rPr>
          <w:rFonts w:hint="eastAsia" w:ascii="仿宋" w:hAnsi="仿宋" w:eastAsia="仿宋" w:cs="仿宋"/>
        </w:rPr>
      </w:pPr>
    </w:p>
    <w:p w14:paraId="119CC470">
      <w:pPr>
        <w:tabs>
          <w:tab w:val="left" w:pos="8820"/>
        </w:tabs>
        <w:wordWrap w:val="0"/>
        <w:spacing w:line="269" w:lineRule="auto"/>
        <w:jc w:val="center"/>
        <w:rPr>
          <w:rFonts w:hint="eastAsia" w:ascii="仿宋" w:hAnsi="仿宋" w:eastAsia="仿宋" w:cs="仿宋"/>
        </w:rPr>
      </w:pPr>
    </w:p>
    <w:p w14:paraId="7EDAB519">
      <w:pPr>
        <w:tabs>
          <w:tab w:val="left" w:pos="8820"/>
        </w:tabs>
        <w:spacing w:line="269" w:lineRule="auto"/>
        <w:ind w:firstLine="0" w:firstLineChars="0"/>
        <w:jc w:val="right"/>
        <w:rPr>
          <w:rFonts w:hint="eastAsia" w:ascii="仿宋" w:hAnsi="仿宋" w:eastAsia="仿宋" w:cs="仿宋"/>
        </w:rPr>
      </w:pPr>
    </w:p>
    <w:p w14:paraId="1E6AD595">
      <w:pPr>
        <w:ind w:firstLine="0" w:firstLineChars="0"/>
        <w:jc w:val="center"/>
        <w:rPr>
          <w:rFonts w:hint="eastAsia" w:ascii="仿宋" w:hAnsi="仿宋" w:eastAsia="仿宋" w:cs="仿宋"/>
          <w:sz w:val="44"/>
        </w:rPr>
      </w:pPr>
    </w:p>
    <w:p w14:paraId="7FCE3A25">
      <w:pPr>
        <w:ind w:firstLine="0" w:firstLineChars="0"/>
        <w:jc w:val="center"/>
        <w:rPr>
          <w:rFonts w:hint="eastAsia" w:ascii="仿宋" w:hAnsi="仿宋" w:eastAsia="仿宋" w:cs="仿宋"/>
          <w:b/>
          <w:bCs/>
          <w:sz w:val="44"/>
        </w:rPr>
      </w:pPr>
      <w:r>
        <w:rPr>
          <w:rFonts w:hint="default" w:ascii="Times New Roman" w:hAnsi="Times New Roman" w:eastAsia="仿宋" w:cs="Times New Roman"/>
          <w:b/>
          <w:bCs/>
          <w:sz w:val="40"/>
          <w:szCs w:val="40"/>
          <w:highlight w:val="none"/>
        </w:rPr>
        <w:t>郯城众一科环化工</w:t>
      </w:r>
      <w:r>
        <w:rPr>
          <w:rFonts w:hint="eastAsia" w:ascii="仿宋" w:hAnsi="仿宋" w:eastAsia="仿宋" w:cs="仿宋"/>
          <w:b/>
          <w:bCs/>
          <w:sz w:val="40"/>
          <w:szCs w:val="40"/>
        </w:rPr>
        <w:t>有限公司</w:t>
      </w:r>
    </w:p>
    <w:p w14:paraId="722D031F">
      <w:pPr>
        <w:ind w:firstLine="0" w:firstLineChars="0"/>
        <w:jc w:val="center"/>
        <w:rPr>
          <w:rFonts w:hint="eastAsia" w:ascii="仿宋" w:hAnsi="仿宋" w:eastAsia="仿宋" w:cs="仿宋"/>
          <w:b/>
          <w:bCs/>
          <w:sz w:val="44"/>
        </w:rPr>
      </w:pPr>
      <w:r>
        <w:rPr>
          <w:rFonts w:hint="eastAsia" w:ascii="仿宋" w:hAnsi="仿宋" w:eastAsia="仿宋" w:cs="仿宋"/>
          <w:b/>
          <w:bCs/>
          <w:sz w:val="44"/>
        </w:rPr>
        <w:t>2023年度</w:t>
      </w:r>
    </w:p>
    <w:p w14:paraId="6A73C5A0">
      <w:pPr>
        <w:ind w:firstLine="0" w:firstLineChars="0"/>
        <w:jc w:val="center"/>
        <w:rPr>
          <w:rFonts w:hint="eastAsia" w:ascii="仿宋" w:hAnsi="仿宋" w:eastAsia="仿宋" w:cs="仿宋"/>
          <w:b/>
          <w:bCs/>
          <w:sz w:val="44"/>
        </w:rPr>
      </w:pPr>
      <w:r>
        <w:rPr>
          <w:rFonts w:hint="eastAsia" w:ascii="仿宋" w:hAnsi="仿宋" w:eastAsia="仿宋" w:cs="仿宋"/>
          <w:b/>
          <w:bCs/>
          <w:sz w:val="44"/>
        </w:rPr>
        <w:t>温室气体排放核查报告</w:t>
      </w:r>
    </w:p>
    <w:p w14:paraId="43C8A19D">
      <w:pPr>
        <w:ind w:firstLine="0" w:firstLineChars="0"/>
        <w:jc w:val="left"/>
        <w:rPr>
          <w:rFonts w:hint="eastAsia" w:ascii="仿宋" w:hAnsi="仿宋" w:eastAsia="仿宋" w:cs="仿宋"/>
          <w:b/>
          <w:bCs/>
          <w:color w:val="0000FF"/>
          <w:sz w:val="24"/>
          <w:szCs w:val="24"/>
        </w:rPr>
      </w:pPr>
    </w:p>
    <w:p w14:paraId="3E160B54">
      <w:pPr>
        <w:ind w:firstLine="0" w:firstLineChars="0"/>
        <w:rPr>
          <w:rFonts w:hint="eastAsia" w:ascii="仿宋" w:hAnsi="仿宋" w:eastAsia="仿宋" w:cs="仿宋"/>
          <w:b/>
          <w:bCs/>
          <w:color w:val="0000FF"/>
          <w:sz w:val="44"/>
        </w:rPr>
      </w:pPr>
    </w:p>
    <w:p w14:paraId="2BA0D085">
      <w:pPr>
        <w:ind w:firstLine="0" w:firstLineChars="0"/>
        <w:rPr>
          <w:rFonts w:hint="eastAsia" w:ascii="仿宋" w:hAnsi="仿宋" w:eastAsia="仿宋" w:cs="仿宋"/>
          <w:b/>
          <w:bCs/>
          <w:color w:val="0000FF"/>
          <w:sz w:val="44"/>
        </w:rPr>
      </w:pPr>
    </w:p>
    <w:p w14:paraId="7D86CE33">
      <w:pPr>
        <w:ind w:firstLine="0" w:firstLineChars="0"/>
        <w:rPr>
          <w:rFonts w:hint="eastAsia" w:ascii="仿宋" w:hAnsi="仿宋" w:eastAsia="仿宋" w:cs="仿宋"/>
          <w:b/>
          <w:bCs/>
          <w:color w:val="0000FF"/>
          <w:sz w:val="44"/>
        </w:rPr>
      </w:pPr>
    </w:p>
    <w:p w14:paraId="74DADA88">
      <w:pPr>
        <w:ind w:firstLine="0" w:firstLineChars="0"/>
        <w:rPr>
          <w:rFonts w:hint="eastAsia" w:ascii="仿宋" w:hAnsi="仿宋" w:eastAsia="仿宋" w:cs="仿宋"/>
          <w:b/>
          <w:bCs/>
          <w:color w:val="0000FF"/>
          <w:sz w:val="44"/>
        </w:rPr>
      </w:pPr>
    </w:p>
    <w:p w14:paraId="2C01ADE8">
      <w:pPr>
        <w:ind w:firstLine="0" w:firstLineChars="0"/>
        <w:rPr>
          <w:rFonts w:hint="eastAsia" w:ascii="仿宋" w:hAnsi="仿宋" w:eastAsia="仿宋" w:cs="仿宋"/>
          <w:b/>
          <w:bCs/>
          <w:color w:val="0000FF"/>
          <w:sz w:val="44"/>
        </w:rPr>
      </w:pPr>
    </w:p>
    <w:p w14:paraId="6A6A5FBC">
      <w:pPr>
        <w:ind w:firstLine="0" w:firstLineChars="0"/>
        <w:rPr>
          <w:rFonts w:hint="eastAsia" w:ascii="仿宋" w:hAnsi="仿宋" w:eastAsia="仿宋" w:cs="仿宋"/>
          <w:b/>
          <w:bCs/>
          <w:color w:val="0000FF"/>
          <w:sz w:val="44"/>
        </w:rPr>
      </w:pPr>
    </w:p>
    <w:p w14:paraId="2EA75155">
      <w:pPr>
        <w:ind w:firstLine="0" w:firstLineChars="0"/>
        <w:rPr>
          <w:rFonts w:hint="eastAsia" w:ascii="仿宋" w:hAnsi="仿宋" w:eastAsia="仿宋" w:cs="仿宋"/>
          <w:b/>
          <w:bCs/>
          <w:color w:val="0000FF"/>
          <w:sz w:val="44"/>
        </w:rPr>
      </w:pPr>
    </w:p>
    <w:p w14:paraId="121594DB">
      <w:pPr>
        <w:ind w:left="560" w:leftChars="200" w:firstLine="0" w:firstLineChars="0"/>
        <w:rPr>
          <w:rFonts w:hint="eastAsia" w:ascii="仿宋" w:hAnsi="仿宋" w:eastAsia="仿宋" w:cs="仿宋"/>
          <w:b/>
          <w:color w:val="0000FF"/>
          <w:sz w:val="32"/>
          <w:szCs w:val="32"/>
        </w:rPr>
      </w:pPr>
      <w:r>
        <w:rPr>
          <w:rFonts w:hint="eastAsia" w:ascii="仿宋" w:hAnsi="仿宋" w:eastAsia="仿宋" w:cs="仿宋"/>
          <w:b/>
          <w:snapToGrid/>
          <w:color w:val="0000FF"/>
          <w:sz w:val="32"/>
          <w:szCs w:val="32"/>
        </w:rPr>
        <w:drawing>
          <wp:anchor distT="0" distB="0" distL="114300" distR="114300" simplePos="0" relativeHeight="251660288" behindDoc="1" locked="0" layoutInCell="1" allowOverlap="1">
            <wp:simplePos x="0" y="0"/>
            <wp:positionH relativeFrom="column">
              <wp:posOffset>2771775</wp:posOffset>
            </wp:positionH>
            <wp:positionV relativeFrom="paragraph">
              <wp:posOffset>125730</wp:posOffset>
            </wp:positionV>
            <wp:extent cx="1442720" cy="1495425"/>
            <wp:effectExtent l="304800" t="266700" r="290830" b="238125"/>
            <wp:wrapNone/>
            <wp:docPr id="1" name="图片 0" descr="1697765549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1697765549071.jpg"/>
                    <pic:cNvPicPr>
                      <a:picLocks noChangeAspect="1"/>
                    </pic:cNvPicPr>
                  </pic:nvPicPr>
                  <pic:blipFill>
                    <a:blip r:embed="rId22"/>
                    <a:stretch>
                      <a:fillRect/>
                    </a:stretch>
                  </pic:blipFill>
                  <pic:spPr>
                    <a:xfrm rot="18123748">
                      <a:off x="0" y="0"/>
                      <a:ext cx="1442720" cy="1495425"/>
                    </a:xfrm>
                    <a:prstGeom prst="rect">
                      <a:avLst/>
                    </a:prstGeom>
                  </pic:spPr>
                </pic:pic>
              </a:graphicData>
            </a:graphic>
          </wp:anchor>
        </w:drawing>
      </w:r>
    </w:p>
    <w:p w14:paraId="3B92AD6B">
      <w:pPr>
        <w:ind w:left="280" w:leftChars="100" w:firstLine="0" w:firstLineChars="0"/>
        <w:rPr>
          <w:rFonts w:hint="eastAsia" w:ascii="仿宋" w:hAnsi="仿宋" w:eastAsia="仿宋" w:cs="仿宋"/>
          <w:b/>
          <w:sz w:val="30"/>
          <w:szCs w:val="30"/>
        </w:rPr>
      </w:pPr>
      <w:r>
        <w:rPr>
          <w:rFonts w:hint="eastAsia" w:ascii="仿宋" w:hAnsi="仿宋" w:eastAsia="仿宋" w:cs="仿宋"/>
          <w:b/>
          <w:sz w:val="30"/>
          <w:szCs w:val="30"/>
        </w:rPr>
        <w:t>核查机构名称（公章）：吉林伟航环境安全科技有限公司</w:t>
      </w:r>
    </w:p>
    <w:p w14:paraId="35769486">
      <w:pPr>
        <w:ind w:left="280" w:leftChars="100" w:firstLine="0" w:firstLineChars="0"/>
        <w:rPr>
          <w:rFonts w:hint="eastAsia" w:ascii="仿宋" w:hAnsi="仿宋" w:eastAsia="仿宋" w:cs="仿宋"/>
          <w:bCs/>
          <w:szCs w:val="28"/>
          <w:u w:val="singl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720" w:num="1"/>
          <w:docGrid w:type="lines" w:linePitch="381" w:charSpace="0"/>
        </w:sectPr>
      </w:pPr>
      <w:r>
        <w:rPr>
          <w:rFonts w:hint="eastAsia" w:ascii="仿宋" w:hAnsi="仿宋" w:eastAsia="仿宋" w:cs="仿宋"/>
          <w:b/>
          <w:sz w:val="30"/>
          <w:szCs w:val="30"/>
        </w:rPr>
        <w:t>核查报告签发日期：2024年0</w:t>
      </w:r>
      <w:r>
        <w:rPr>
          <w:rFonts w:hint="eastAsia" w:ascii="仿宋" w:hAnsi="仿宋" w:eastAsia="仿宋" w:cs="仿宋"/>
          <w:b/>
          <w:sz w:val="30"/>
          <w:szCs w:val="30"/>
          <w:lang w:val="en-US" w:eastAsia="zh-CN"/>
        </w:rPr>
        <w:t>8</w:t>
      </w:r>
      <w:r>
        <w:rPr>
          <w:rFonts w:hint="eastAsia" w:ascii="仿宋" w:hAnsi="仿宋" w:eastAsia="仿宋" w:cs="仿宋"/>
          <w:b/>
          <w:sz w:val="30"/>
          <w:szCs w:val="30"/>
        </w:rPr>
        <w:t>月2</w:t>
      </w:r>
      <w:r>
        <w:rPr>
          <w:rFonts w:hint="eastAsia" w:ascii="仿宋" w:hAnsi="仿宋" w:eastAsia="仿宋" w:cs="仿宋"/>
          <w:b/>
          <w:sz w:val="30"/>
          <w:szCs w:val="30"/>
          <w:lang w:val="en-US" w:eastAsia="zh-CN"/>
        </w:rPr>
        <w:t>3</w:t>
      </w:r>
      <w:r>
        <w:rPr>
          <w:rFonts w:hint="eastAsia" w:ascii="仿宋" w:hAnsi="仿宋" w:eastAsia="仿宋" w:cs="仿宋"/>
          <w:b/>
          <w:sz w:val="30"/>
          <w:szCs w:val="30"/>
        </w:rPr>
        <w:t>日</w:t>
      </w:r>
    </w:p>
    <w:tbl>
      <w:tblPr>
        <w:tblStyle w:val="2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4"/>
        <w:gridCol w:w="338"/>
        <w:gridCol w:w="646"/>
        <w:gridCol w:w="1331"/>
        <w:gridCol w:w="435"/>
        <w:gridCol w:w="132"/>
        <w:gridCol w:w="1087"/>
        <w:gridCol w:w="342"/>
        <w:gridCol w:w="90"/>
        <w:gridCol w:w="617"/>
        <w:gridCol w:w="2539"/>
      </w:tblGrid>
      <w:tr w14:paraId="04108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2" w:type="dxa"/>
            <w:gridSpan w:val="2"/>
            <w:tcBorders>
              <w:top w:val="single" w:color="auto" w:sz="4" w:space="0"/>
            </w:tcBorders>
            <w:vAlign w:val="center"/>
          </w:tcPr>
          <w:p w14:paraId="5F61CED2">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企业（或者其他经济组织）名称</w:t>
            </w:r>
          </w:p>
        </w:tc>
        <w:tc>
          <w:tcPr>
            <w:tcW w:w="2412" w:type="dxa"/>
            <w:gridSpan w:val="3"/>
            <w:tcBorders>
              <w:top w:val="single" w:color="auto" w:sz="4" w:space="0"/>
            </w:tcBorders>
            <w:vAlign w:val="center"/>
          </w:tcPr>
          <w:p w14:paraId="197D8719">
            <w:pPr>
              <w:spacing w:line="240" w:lineRule="auto"/>
              <w:ind w:firstLine="0" w:firstLineChars="0"/>
              <w:rPr>
                <w:rFonts w:hint="eastAsia" w:ascii="仿宋" w:hAnsi="仿宋" w:eastAsia="仿宋" w:cs="仿宋"/>
                <w:sz w:val="24"/>
                <w:szCs w:val="24"/>
              </w:rPr>
            </w:pPr>
            <w:r>
              <w:rPr>
                <w:rFonts w:hint="default" w:ascii="Times New Roman" w:hAnsi="Times New Roman" w:eastAsia="仿宋" w:cs="Times New Roman"/>
                <w:sz w:val="24"/>
                <w:szCs w:val="24"/>
                <w:highlight w:val="none"/>
              </w:rPr>
              <w:t>郯城众一科环化工有限公司</w:t>
            </w:r>
          </w:p>
        </w:tc>
        <w:tc>
          <w:tcPr>
            <w:tcW w:w="1651" w:type="dxa"/>
            <w:gridSpan w:val="4"/>
            <w:tcBorders>
              <w:top w:val="single" w:color="auto" w:sz="4" w:space="0"/>
            </w:tcBorders>
            <w:vAlign w:val="center"/>
          </w:tcPr>
          <w:p w14:paraId="187EEA9C">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b/>
                <w:sz w:val="24"/>
                <w:szCs w:val="24"/>
              </w:rPr>
              <w:t>地址</w:t>
            </w:r>
          </w:p>
        </w:tc>
        <w:tc>
          <w:tcPr>
            <w:tcW w:w="3156" w:type="dxa"/>
            <w:gridSpan w:val="2"/>
            <w:tcBorders>
              <w:top w:val="single" w:color="auto" w:sz="4" w:space="0"/>
            </w:tcBorders>
            <w:vAlign w:val="center"/>
          </w:tcPr>
          <w:p w14:paraId="52857C89">
            <w:pPr>
              <w:spacing w:line="240" w:lineRule="auto"/>
              <w:ind w:firstLine="0" w:firstLineChars="0"/>
              <w:rPr>
                <w:rFonts w:hint="eastAsia" w:ascii="仿宋" w:hAnsi="仿宋" w:eastAsia="仿宋" w:cs="仿宋"/>
                <w:sz w:val="24"/>
                <w:szCs w:val="24"/>
              </w:rPr>
            </w:pPr>
            <w:r>
              <w:rPr>
                <w:rFonts w:hint="default" w:ascii="Times New Roman" w:hAnsi="Times New Roman" w:eastAsia="仿宋" w:cs="Times New Roman"/>
                <w:sz w:val="24"/>
                <w:szCs w:val="24"/>
                <w:highlight w:val="none"/>
              </w:rPr>
              <w:t>山东郯城经济开发区新源路16号</w:t>
            </w:r>
          </w:p>
        </w:tc>
      </w:tr>
      <w:tr w14:paraId="73853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52" w:type="dxa"/>
            <w:gridSpan w:val="2"/>
            <w:tcBorders>
              <w:top w:val="single" w:color="auto" w:sz="4" w:space="0"/>
            </w:tcBorders>
            <w:vAlign w:val="center"/>
          </w:tcPr>
          <w:p w14:paraId="345FA4A5">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联系人</w:t>
            </w:r>
          </w:p>
        </w:tc>
        <w:tc>
          <w:tcPr>
            <w:tcW w:w="2412" w:type="dxa"/>
            <w:gridSpan w:val="3"/>
            <w:tcBorders>
              <w:top w:val="single" w:color="auto" w:sz="4" w:space="0"/>
            </w:tcBorders>
            <w:vAlign w:val="center"/>
          </w:tcPr>
          <w:p w14:paraId="36D4D884">
            <w:pPr>
              <w:spacing w:line="240" w:lineRule="auto"/>
              <w:ind w:firstLine="0" w:firstLineChars="0"/>
              <w:rPr>
                <w:rFonts w:hint="eastAsia" w:ascii="仿宋" w:hAnsi="仿宋" w:eastAsia="仿宋" w:cs="仿宋"/>
                <w:sz w:val="24"/>
                <w:szCs w:val="24"/>
              </w:rPr>
            </w:pPr>
            <w:r>
              <w:rPr>
                <w:rFonts w:hint="default" w:ascii="Times New Roman" w:hAnsi="Times New Roman" w:eastAsia="仿宋" w:cs="Times New Roman"/>
                <w:color w:val="000000"/>
                <w:kern w:val="0"/>
                <w:sz w:val="24"/>
                <w:szCs w:val="24"/>
                <w:highlight w:val="none"/>
              </w:rPr>
              <w:t>葛玉娟</w:t>
            </w:r>
          </w:p>
        </w:tc>
        <w:tc>
          <w:tcPr>
            <w:tcW w:w="1651" w:type="dxa"/>
            <w:gridSpan w:val="4"/>
            <w:tcBorders>
              <w:top w:val="single" w:color="auto" w:sz="4" w:space="0"/>
            </w:tcBorders>
            <w:vAlign w:val="center"/>
          </w:tcPr>
          <w:p w14:paraId="5F46BFC3">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b/>
                <w:sz w:val="24"/>
                <w:szCs w:val="24"/>
              </w:rPr>
              <w:t>联系方式（电话、email）</w:t>
            </w:r>
          </w:p>
        </w:tc>
        <w:tc>
          <w:tcPr>
            <w:tcW w:w="3156" w:type="dxa"/>
            <w:gridSpan w:val="2"/>
            <w:tcBorders>
              <w:top w:val="single" w:color="auto" w:sz="4" w:space="0"/>
            </w:tcBorders>
            <w:vAlign w:val="center"/>
          </w:tcPr>
          <w:p w14:paraId="32C477B8">
            <w:pPr>
              <w:spacing w:line="240" w:lineRule="auto"/>
              <w:ind w:firstLine="0" w:firstLineChars="0"/>
              <w:rPr>
                <w:rFonts w:hint="eastAsia" w:ascii="仿宋" w:hAnsi="仿宋" w:eastAsia="仿宋" w:cs="仿宋"/>
                <w:sz w:val="24"/>
                <w:szCs w:val="24"/>
              </w:rPr>
            </w:pPr>
            <w:r>
              <w:rPr>
                <w:rFonts w:hint="default" w:ascii="Times New Roman" w:hAnsi="Times New Roman" w:eastAsia="仿宋" w:cs="Times New Roman"/>
                <w:color w:val="000000"/>
                <w:kern w:val="0"/>
                <w:sz w:val="24"/>
                <w:szCs w:val="24"/>
                <w:highlight w:val="none"/>
              </w:rPr>
              <w:t>0539-2653766</w:t>
            </w:r>
          </w:p>
        </w:tc>
      </w:tr>
      <w:tr w14:paraId="42A82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1" w:type="dxa"/>
            <w:gridSpan w:val="11"/>
            <w:tcBorders>
              <w:top w:val="single" w:color="auto" w:sz="4" w:space="0"/>
            </w:tcBorders>
            <w:vAlign w:val="center"/>
          </w:tcPr>
          <w:p w14:paraId="0F63F735">
            <w:pPr>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企业（或者其他经济组织）是否是委托方？</w:t>
            </w:r>
            <w:r>
              <w:rPr>
                <w:rFonts w:hint="eastAsia" w:ascii="仿宋" w:hAnsi="仿宋" w:eastAsia="仿宋" w:cs="仿宋"/>
                <w:bCs/>
                <w:sz w:val="24"/>
                <w:szCs w:val="24"/>
              </w:rPr>
              <w:t xml:space="preserve"> </w:t>
            </w:r>
            <w:r>
              <w:rPr>
                <w:rFonts w:hint="eastAsia" w:ascii="仿宋" w:hAnsi="仿宋" w:eastAsia="仿宋" w:cs="仿宋"/>
                <w:bCs/>
                <w:sz w:val="24"/>
                <w:szCs w:val="24"/>
              </w:rPr>
              <w:sym w:font="Wingdings 2" w:char="0052"/>
            </w:r>
            <w:r>
              <w:rPr>
                <w:rFonts w:hint="eastAsia" w:ascii="仿宋" w:hAnsi="仿宋" w:eastAsia="仿宋" w:cs="仿宋"/>
                <w:sz w:val="24"/>
                <w:szCs w:val="24"/>
              </w:rPr>
              <w:t xml:space="preserve">是 </w:t>
            </w:r>
            <w:r>
              <w:rPr>
                <w:rFonts w:hint="eastAsia" w:ascii="仿宋" w:hAnsi="仿宋" w:eastAsia="仿宋" w:cs="仿宋"/>
                <w:bCs/>
                <w:sz w:val="24"/>
                <w:szCs w:val="24"/>
              </w:rPr>
              <w:t>□</w:t>
            </w:r>
            <w:r>
              <w:rPr>
                <w:rFonts w:hint="eastAsia" w:ascii="仿宋" w:hAnsi="仿宋" w:eastAsia="仿宋" w:cs="仿宋"/>
                <w:sz w:val="24"/>
                <w:szCs w:val="24"/>
              </w:rPr>
              <w:t>否。</w:t>
            </w:r>
          </w:p>
        </w:tc>
      </w:tr>
      <w:tr w14:paraId="79148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6" w:type="dxa"/>
            <w:gridSpan w:val="6"/>
            <w:tcBorders>
              <w:top w:val="single" w:color="auto" w:sz="4" w:space="0"/>
            </w:tcBorders>
          </w:tcPr>
          <w:p w14:paraId="35BFEBBF">
            <w:pPr>
              <w:spacing w:line="240" w:lineRule="auto"/>
              <w:ind w:firstLine="0" w:firstLineChars="0"/>
              <w:rPr>
                <w:rFonts w:hint="eastAsia" w:ascii="仿宋" w:hAnsi="仿宋" w:eastAsia="仿宋" w:cs="仿宋"/>
                <w:b/>
                <w:sz w:val="24"/>
                <w:szCs w:val="24"/>
              </w:rPr>
            </w:pPr>
            <w:r>
              <w:rPr>
                <w:rFonts w:hint="eastAsia" w:ascii="仿宋" w:hAnsi="仿宋" w:eastAsia="仿宋" w:cs="仿宋"/>
                <w:b/>
                <w:sz w:val="24"/>
                <w:szCs w:val="24"/>
                <w:lang w:bidi="en-US"/>
              </w:rPr>
              <w:t>企业（或者其他经济组织）所属行业领域</w:t>
            </w:r>
          </w:p>
        </w:tc>
        <w:tc>
          <w:tcPr>
            <w:tcW w:w="4675" w:type="dxa"/>
            <w:gridSpan w:val="5"/>
            <w:tcBorders>
              <w:top w:val="single" w:color="auto" w:sz="4" w:space="0"/>
            </w:tcBorders>
            <w:vAlign w:val="center"/>
          </w:tcPr>
          <w:p w14:paraId="585767D2">
            <w:pPr>
              <w:spacing w:line="240" w:lineRule="auto"/>
              <w:ind w:firstLine="0" w:firstLineChars="0"/>
              <w:rPr>
                <w:rFonts w:hint="eastAsia" w:ascii="仿宋" w:hAnsi="仿宋" w:eastAsia="仿宋" w:cs="仿宋"/>
                <w:sz w:val="24"/>
                <w:szCs w:val="24"/>
              </w:rPr>
            </w:pPr>
            <w:r>
              <w:rPr>
                <w:rFonts w:hint="eastAsia" w:ascii="Times New Roman" w:hAnsi="Times New Roman" w:eastAsia="仿宋" w:cs="Times New Roman"/>
                <w:color w:val="000000"/>
                <w:kern w:val="0"/>
                <w:sz w:val="24"/>
                <w:szCs w:val="24"/>
                <w:highlight w:val="none"/>
                <w:shd w:val="clear"/>
                <w:lang w:val="en-US" w:eastAsia="zh-CN"/>
              </w:rPr>
              <w:t>其他</w:t>
            </w:r>
            <w:r>
              <w:rPr>
                <w:rFonts w:hint="default" w:ascii="Times New Roman" w:hAnsi="Times New Roman" w:eastAsia="仿宋" w:cs="Times New Roman"/>
                <w:color w:val="000000"/>
                <w:kern w:val="0"/>
                <w:sz w:val="24"/>
                <w:szCs w:val="24"/>
                <w:highlight w:val="none"/>
                <w:shd w:val="clear"/>
              </w:rPr>
              <w:t>基础化工原料制造</w:t>
            </w:r>
            <w:r>
              <w:rPr>
                <w:rFonts w:hint="default" w:ascii="Times New Roman" w:hAnsi="Times New Roman" w:eastAsia="仿宋" w:cs="Times New Roman"/>
                <w:color w:val="000000"/>
                <w:kern w:val="0"/>
                <w:sz w:val="24"/>
                <w:szCs w:val="24"/>
                <w:highlight w:val="none"/>
                <w:shd w:val="clear"/>
                <w:lang w:eastAsia="zh-CN"/>
              </w:rPr>
              <w:t>（</w:t>
            </w:r>
            <w:r>
              <w:rPr>
                <w:rFonts w:hint="default" w:ascii="Times New Roman" w:hAnsi="Times New Roman" w:eastAsia="仿宋" w:cs="Times New Roman"/>
                <w:color w:val="000000"/>
                <w:kern w:val="0"/>
                <w:sz w:val="24"/>
                <w:szCs w:val="24"/>
                <w:highlight w:val="none"/>
                <w:shd w:val="clear"/>
                <w:lang w:val="en-US" w:eastAsia="zh-CN"/>
              </w:rPr>
              <w:t>C2619</w:t>
            </w:r>
            <w:r>
              <w:rPr>
                <w:rFonts w:hint="default" w:ascii="Times New Roman" w:hAnsi="Times New Roman" w:eastAsia="仿宋" w:cs="Times New Roman"/>
                <w:color w:val="000000"/>
                <w:kern w:val="0"/>
                <w:sz w:val="24"/>
                <w:szCs w:val="24"/>
                <w:highlight w:val="none"/>
                <w:shd w:val="clear"/>
                <w:lang w:eastAsia="zh-CN"/>
              </w:rPr>
              <w:t>）</w:t>
            </w:r>
          </w:p>
        </w:tc>
      </w:tr>
      <w:tr w14:paraId="05B8F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6" w:type="dxa"/>
            <w:gridSpan w:val="6"/>
          </w:tcPr>
          <w:p w14:paraId="01275DE1">
            <w:pPr>
              <w:spacing w:line="240" w:lineRule="auto"/>
              <w:ind w:firstLine="0" w:firstLineChars="0"/>
              <w:rPr>
                <w:rFonts w:hint="eastAsia" w:ascii="仿宋" w:hAnsi="仿宋" w:eastAsia="仿宋" w:cs="仿宋"/>
                <w:b/>
                <w:sz w:val="24"/>
                <w:szCs w:val="24"/>
              </w:rPr>
            </w:pPr>
            <w:r>
              <w:rPr>
                <w:rFonts w:hint="eastAsia" w:ascii="仿宋" w:hAnsi="仿宋" w:eastAsia="仿宋" w:cs="仿宋"/>
                <w:b/>
                <w:sz w:val="24"/>
                <w:szCs w:val="24"/>
                <w:lang w:bidi="en-US"/>
              </w:rPr>
              <w:t>企业（或者其他经济组织）是否为独立法人</w:t>
            </w:r>
          </w:p>
        </w:tc>
        <w:tc>
          <w:tcPr>
            <w:tcW w:w="4675" w:type="dxa"/>
            <w:gridSpan w:val="5"/>
            <w:vAlign w:val="center"/>
          </w:tcPr>
          <w:p w14:paraId="61F9222F">
            <w:pPr>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是</w:t>
            </w:r>
          </w:p>
        </w:tc>
      </w:tr>
      <w:tr w14:paraId="42CBC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6" w:type="dxa"/>
            <w:gridSpan w:val="6"/>
            <w:vAlign w:val="center"/>
          </w:tcPr>
          <w:p w14:paraId="615C7D3B">
            <w:pPr>
              <w:spacing w:line="240" w:lineRule="auto"/>
              <w:ind w:firstLine="0" w:firstLineChars="0"/>
              <w:rPr>
                <w:rFonts w:hint="eastAsia" w:ascii="仿宋" w:hAnsi="仿宋" w:eastAsia="仿宋" w:cs="仿宋"/>
                <w:b/>
                <w:sz w:val="24"/>
                <w:szCs w:val="24"/>
              </w:rPr>
            </w:pPr>
            <w:r>
              <w:rPr>
                <w:rFonts w:hint="eastAsia" w:ascii="仿宋" w:hAnsi="仿宋" w:eastAsia="仿宋" w:cs="仿宋"/>
                <w:b/>
                <w:sz w:val="24"/>
                <w:szCs w:val="24"/>
              </w:rPr>
              <w:t>核算和报告依据</w:t>
            </w:r>
          </w:p>
        </w:tc>
        <w:tc>
          <w:tcPr>
            <w:tcW w:w="4675" w:type="dxa"/>
            <w:gridSpan w:val="5"/>
            <w:vAlign w:val="center"/>
          </w:tcPr>
          <w:p w14:paraId="4074DD3D">
            <w:pPr>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《工业其他行业企业温室气体排放核算方法与报告指南（试行）》</w:t>
            </w:r>
          </w:p>
        </w:tc>
      </w:tr>
      <w:tr w14:paraId="0544D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6" w:type="dxa"/>
            <w:gridSpan w:val="6"/>
            <w:vAlign w:val="center"/>
          </w:tcPr>
          <w:p w14:paraId="1EAA34BA">
            <w:pPr>
              <w:spacing w:line="240" w:lineRule="auto"/>
              <w:ind w:firstLine="0" w:firstLineChars="0"/>
              <w:rPr>
                <w:rFonts w:hint="eastAsia" w:ascii="仿宋" w:hAnsi="仿宋" w:eastAsia="仿宋" w:cs="仿宋"/>
                <w:b/>
                <w:sz w:val="24"/>
                <w:szCs w:val="24"/>
              </w:rPr>
            </w:pPr>
            <w:r>
              <w:rPr>
                <w:rFonts w:hint="eastAsia" w:ascii="仿宋" w:hAnsi="仿宋" w:eastAsia="仿宋" w:cs="仿宋"/>
                <w:b/>
                <w:sz w:val="24"/>
                <w:szCs w:val="24"/>
              </w:rPr>
              <w:t>温室气体排放报告（初始）版本/日期</w:t>
            </w:r>
          </w:p>
        </w:tc>
        <w:tc>
          <w:tcPr>
            <w:tcW w:w="4675" w:type="dxa"/>
            <w:gridSpan w:val="5"/>
            <w:shd w:val="clear" w:color="auto" w:fill="auto"/>
            <w:vAlign w:val="center"/>
          </w:tcPr>
          <w:p w14:paraId="186C8A00">
            <w:pPr>
              <w:spacing w:line="240" w:lineRule="auto"/>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不涉及</w:t>
            </w:r>
          </w:p>
        </w:tc>
      </w:tr>
      <w:tr w14:paraId="08492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6" w:type="dxa"/>
            <w:gridSpan w:val="6"/>
            <w:vAlign w:val="center"/>
          </w:tcPr>
          <w:p w14:paraId="31441A25">
            <w:pPr>
              <w:spacing w:line="240" w:lineRule="auto"/>
              <w:ind w:firstLine="0" w:firstLineChars="0"/>
              <w:rPr>
                <w:rFonts w:hint="eastAsia" w:ascii="仿宋" w:hAnsi="仿宋" w:eastAsia="仿宋" w:cs="仿宋"/>
                <w:b/>
                <w:sz w:val="24"/>
                <w:szCs w:val="24"/>
              </w:rPr>
            </w:pPr>
            <w:r>
              <w:rPr>
                <w:rFonts w:hint="eastAsia" w:ascii="仿宋" w:hAnsi="仿宋" w:eastAsia="仿宋" w:cs="仿宋"/>
                <w:b/>
                <w:sz w:val="24"/>
                <w:szCs w:val="24"/>
              </w:rPr>
              <w:t>温室气体排放报告（最终）版本/日期</w:t>
            </w:r>
          </w:p>
        </w:tc>
        <w:tc>
          <w:tcPr>
            <w:tcW w:w="4675" w:type="dxa"/>
            <w:gridSpan w:val="5"/>
            <w:shd w:val="clear" w:color="auto" w:fill="auto"/>
            <w:vAlign w:val="center"/>
          </w:tcPr>
          <w:p w14:paraId="785370AB">
            <w:pPr>
              <w:spacing w:line="240" w:lineRule="auto"/>
              <w:ind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不涉及</w:t>
            </w:r>
          </w:p>
        </w:tc>
      </w:tr>
      <w:tr w14:paraId="68FE3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8" w:type="dxa"/>
            <w:gridSpan w:val="3"/>
            <w:vAlign w:val="center"/>
          </w:tcPr>
          <w:p w14:paraId="2A7A50D9">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年度</w:t>
            </w:r>
          </w:p>
        </w:tc>
        <w:tc>
          <w:tcPr>
            <w:tcW w:w="2985" w:type="dxa"/>
            <w:gridSpan w:val="4"/>
            <w:vAlign w:val="center"/>
          </w:tcPr>
          <w:p w14:paraId="25512A03">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按指南核算的企业法人边界的温室气体排放总量</w:t>
            </w:r>
          </w:p>
        </w:tc>
        <w:tc>
          <w:tcPr>
            <w:tcW w:w="3588" w:type="dxa"/>
            <w:gridSpan w:val="4"/>
            <w:vAlign w:val="center"/>
          </w:tcPr>
          <w:p w14:paraId="6866637B">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按补充数据表填报的二氧化碳排放总量</w:t>
            </w:r>
          </w:p>
        </w:tc>
      </w:tr>
      <w:tr w14:paraId="36894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8" w:type="dxa"/>
            <w:gridSpan w:val="3"/>
            <w:shd w:val="clear" w:color="auto" w:fill="auto"/>
            <w:vAlign w:val="center"/>
          </w:tcPr>
          <w:p w14:paraId="23B5000A">
            <w:pPr>
              <w:spacing w:line="240" w:lineRule="auto"/>
              <w:ind w:firstLine="0" w:firstLineChars="0"/>
              <w:jc w:val="center"/>
              <w:rPr>
                <w:rFonts w:hint="eastAsia" w:ascii="仿宋" w:hAnsi="仿宋" w:eastAsia="仿宋" w:cs="仿宋"/>
                <w:b/>
                <w:sz w:val="24"/>
                <w:szCs w:val="24"/>
                <w:highlight w:val="none"/>
              </w:rPr>
            </w:pPr>
            <w:r>
              <w:rPr>
                <w:rFonts w:hint="eastAsia" w:ascii="仿宋" w:hAnsi="仿宋" w:eastAsia="仿宋" w:cs="仿宋"/>
                <w:b/>
                <w:sz w:val="24"/>
                <w:szCs w:val="24"/>
                <w:highlight w:val="none"/>
              </w:rPr>
              <w:t>2023年（</w:t>
            </w:r>
            <w:r>
              <w:rPr>
                <w:rFonts w:hint="eastAsia" w:ascii="仿宋" w:hAnsi="仿宋" w:eastAsia="仿宋" w:cs="仿宋"/>
                <w:b/>
                <w:bCs/>
                <w:sz w:val="24"/>
                <w:szCs w:val="24"/>
                <w:highlight w:val="none"/>
              </w:rPr>
              <w:t>tCO</w:t>
            </w:r>
            <w:r>
              <w:rPr>
                <w:rFonts w:hint="eastAsia" w:ascii="仿宋" w:hAnsi="仿宋" w:eastAsia="仿宋" w:cs="仿宋"/>
                <w:b/>
                <w:bCs/>
                <w:sz w:val="24"/>
                <w:szCs w:val="24"/>
                <w:highlight w:val="none"/>
                <w:vertAlign w:val="subscript"/>
              </w:rPr>
              <w:t>2</w:t>
            </w:r>
            <w:r>
              <w:rPr>
                <w:rFonts w:hint="eastAsia" w:ascii="仿宋" w:hAnsi="仿宋" w:eastAsia="仿宋" w:cs="仿宋"/>
                <w:b/>
                <w:bCs/>
                <w:sz w:val="24"/>
                <w:szCs w:val="24"/>
                <w:highlight w:val="none"/>
              </w:rPr>
              <w:t>e</w:t>
            </w:r>
            <w:r>
              <w:rPr>
                <w:rFonts w:hint="eastAsia" w:ascii="仿宋" w:hAnsi="仿宋" w:eastAsia="仿宋" w:cs="仿宋"/>
                <w:b/>
                <w:sz w:val="24"/>
                <w:szCs w:val="24"/>
                <w:highlight w:val="none"/>
              </w:rPr>
              <w:t>）</w:t>
            </w:r>
          </w:p>
        </w:tc>
        <w:tc>
          <w:tcPr>
            <w:tcW w:w="2985" w:type="dxa"/>
            <w:gridSpan w:val="4"/>
            <w:shd w:val="clear" w:color="auto" w:fill="auto"/>
            <w:vAlign w:val="center"/>
          </w:tcPr>
          <w:p w14:paraId="7347AD68">
            <w:pPr>
              <w:spacing w:line="240" w:lineRule="auto"/>
              <w:ind w:firstLine="0" w:firstLineChars="0"/>
              <w:jc w:val="center"/>
              <w:rPr>
                <w:rFonts w:hint="default" w:ascii="仿宋" w:hAnsi="仿宋" w:eastAsia="仿宋" w:cs="仿宋"/>
                <w:bCs/>
                <w:kern w:val="0"/>
                <w:sz w:val="24"/>
                <w:szCs w:val="24"/>
                <w:highlight w:val="none"/>
                <w:lang w:val="en-US" w:eastAsia="zh-CN"/>
              </w:rPr>
            </w:pPr>
            <w:r>
              <w:rPr>
                <w:rFonts w:hint="eastAsia" w:ascii="仿宋" w:hAnsi="仿宋" w:eastAsia="仿宋" w:cs="仿宋"/>
                <w:sz w:val="24"/>
                <w:szCs w:val="24"/>
                <w:highlight w:val="none"/>
                <w:shd w:val="clear"/>
                <w:lang w:val="en-US" w:eastAsia="zh-CN"/>
              </w:rPr>
              <w:t>2030.67</w:t>
            </w:r>
          </w:p>
        </w:tc>
        <w:tc>
          <w:tcPr>
            <w:tcW w:w="3588" w:type="dxa"/>
            <w:gridSpan w:val="4"/>
            <w:shd w:val="clear" w:color="auto" w:fill="auto"/>
            <w:vAlign w:val="center"/>
          </w:tcPr>
          <w:p w14:paraId="64F12E7B">
            <w:pPr>
              <w:spacing w:line="240" w:lineRule="auto"/>
              <w:ind w:firstLine="0" w:firstLineChars="0"/>
              <w:jc w:val="center"/>
              <w:rPr>
                <w:rFonts w:hint="default" w:ascii="仿宋" w:hAnsi="仿宋" w:eastAsia="仿宋" w:cs="仿宋"/>
                <w:bCs/>
                <w:kern w:val="0"/>
                <w:sz w:val="24"/>
                <w:szCs w:val="24"/>
                <w:highlight w:val="none"/>
                <w:lang w:val="en-US" w:eastAsia="zh-CN"/>
              </w:rPr>
            </w:pPr>
            <w:r>
              <w:rPr>
                <w:rFonts w:hint="eastAsia" w:ascii="仿宋" w:hAnsi="仿宋" w:eastAsia="仿宋" w:cs="仿宋"/>
                <w:bCs/>
                <w:sz w:val="24"/>
                <w:szCs w:val="24"/>
                <w:highlight w:val="none"/>
                <w:lang w:val="en-US" w:eastAsia="zh-CN"/>
              </w:rPr>
              <w:t>1939.15</w:t>
            </w:r>
          </w:p>
        </w:tc>
      </w:tr>
      <w:tr w14:paraId="78726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1" w:type="dxa"/>
            <w:gridSpan w:val="11"/>
            <w:shd w:val="clear" w:color="auto" w:fill="auto"/>
          </w:tcPr>
          <w:p w14:paraId="75E49B5C">
            <w:pPr>
              <w:spacing w:line="240" w:lineRule="auto"/>
              <w:ind w:firstLine="0" w:firstLineChars="0"/>
              <w:jc w:val="left"/>
              <w:rPr>
                <w:rFonts w:hint="eastAsia" w:ascii="仿宋" w:hAnsi="仿宋" w:eastAsia="仿宋" w:cs="仿宋"/>
                <w:b/>
                <w:sz w:val="24"/>
                <w:szCs w:val="24"/>
                <w:highlight w:val="none"/>
              </w:rPr>
            </w:pPr>
            <w:r>
              <w:rPr>
                <w:rFonts w:hint="eastAsia" w:ascii="仿宋" w:hAnsi="仿宋" w:eastAsia="仿宋" w:cs="仿宋"/>
                <w:b/>
                <w:sz w:val="24"/>
                <w:szCs w:val="24"/>
                <w:highlight w:val="none"/>
              </w:rPr>
              <w:t>核查结论</w:t>
            </w:r>
          </w:p>
          <w:p w14:paraId="2AC11104">
            <w:pPr>
              <w:spacing w:line="240" w:lineRule="atLeast"/>
              <w:ind w:firstLine="480"/>
              <w:rPr>
                <w:rFonts w:hint="eastAsia" w:ascii="仿宋" w:hAnsi="仿宋" w:eastAsia="仿宋" w:cs="仿宋"/>
                <w:sz w:val="24"/>
                <w:szCs w:val="24"/>
                <w:highlight w:val="none"/>
              </w:rPr>
            </w:pPr>
            <w:r>
              <w:rPr>
                <w:rFonts w:hint="eastAsia" w:ascii="仿宋" w:hAnsi="仿宋" w:eastAsia="仿宋" w:cs="仿宋"/>
                <w:sz w:val="24"/>
                <w:szCs w:val="24"/>
                <w:highlight w:val="none"/>
              </w:rPr>
              <w:t>吉林伟航环境安全科技有限公司（简</w:t>
            </w:r>
            <w:r>
              <w:rPr>
                <w:rFonts w:hint="eastAsia" w:ascii="仿宋" w:hAnsi="仿宋" w:eastAsia="仿宋" w:cs="仿宋"/>
                <w:color w:val="000000"/>
                <w:sz w:val="24"/>
                <w:szCs w:val="24"/>
                <w:highlight w:val="none"/>
              </w:rPr>
              <w:t>称“</w:t>
            </w:r>
            <w:r>
              <w:rPr>
                <w:rFonts w:hint="eastAsia" w:ascii="仿宋" w:hAnsi="仿宋" w:eastAsia="仿宋" w:cs="仿宋"/>
                <w:sz w:val="24"/>
                <w:szCs w:val="24"/>
                <w:highlight w:val="none"/>
              </w:rPr>
              <w:t>伟航科技</w:t>
            </w:r>
            <w:r>
              <w:rPr>
                <w:rFonts w:hint="eastAsia" w:ascii="仿宋" w:hAnsi="仿宋" w:eastAsia="仿宋" w:cs="仿宋"/>
                <w:color w:val="000000"/>
                <w:sz w:val="24"/>
                <w:szCs w:val="24"/>
                <w:highlight w:val="none"/>
              </w:rPr>
              <w:t>”</w:t>
            </w:r>
            <w:r>
              <w:rPr>
                <w:rFonts w:hint="eastAsia" w:ascii="仿宋" w:hAnsi="仿宋" w:eastAsia="仿宋" w:cs="仿宋"/>
                <w:sz w:val="24"/>
                <w:szCs w:val="24"/>
                <w:highlight w:val="none"/>
              </w:rPr>
              <w:t>）对“</w:t>
            </w:r>
            <w:r>
              <w:rPr>
                <w:rFonts w:hint="default" w:ascii="Times New Roman" w:hAnsi="Times New Roman" w:eastAsia="仿宋" w:cs="Times New Roman"/>
                <w:sz w:val="24"/>
                <w:szCs w:val="24"/>
                <w:highlight w:val="none"/>
              </w:rPr>
              <w:t>郯城众一科环化工有限公司</w:t>
            </w:r>
            <w:r>
              <w:rPr>
                <w:rFonts w:hint="eastAsia" w:ascii="仿宋" w:hAnsi="仿宋" w:eastAsia="仿宋" w:cs="仿宋"/>
                <w:sz w:val="24"/>
                <w:szCs w:val="24"/>
                <w:highlight w:val="none"/>
              </w:rPr>
              <w:t>”(以下简称“受核查方”)2023年度的温室气体排放报告进行了第三方核查。经文件评审和现场走访，伟航科技形成如下核查结论：</w:t>
            </w:r>
          </w:p>
          <w:p w14:paraId="56333BAE">
            <w:pPr>
              <w:spacing w:line="240" w:lineRule="auto"/>
              <w:ind w:firstLine="0" w:firstLineChars="0"/>
              <w:jc w:val="left"/>
              <w:rPr>
                <w:rFonts w:hint="eastAsia" w:ascii="仿宋" w:hAnsi="仿宋" w:eastAsia="仿宋" w:cs="仿宋"/>
                <w:b/>
                <w:sz w:val="24"/>
                <w:szCs w:val="24"/>
                <w:highlight w:val="none"/>
              </w:rPr>
            </w:pPr>
            <w:r>
              <w:rPr>
                <w:rFonts w:hint="eastAsia" w:ascii="仿宋" w:hAnsi="仿宋" w:eastAsia="仿宋" w:cs="仿宋"/>
                <w:b/>
                <w:sz w:val="24"/>
                <w:szCs w:val="24"/>
                <w:highlight w:val="none"/>
              </w:rPr>
              <w:t>1. 排放报告与核算指南的符合性：</w:t>
            </w:r>
          </w:p>
          <w:p w14:paraId="5E48E40C">
            <w:pPr>
              <w:spacing w:line="240" w:lineRule="atLeast"/>
              <w:ind w:firstLine="480"/>
              <w:rPr>
                <w:rFonts w:hint="eastAsia" w:ascii="仿宋" w:hAnsi="仿宋" w:eastAsia="仿宋" w:cs="仿宋"/>
                <w:sz w:val="24"/>
                <w:szCs w:val="24"/>
                <w:highlight w:val="none"/>
              </w:rPr>
            </w:pPr>
            <w:r>
              <w:rPr>
                <w:rFonts w:hint="eastAsia" w:ascii="仿宋" w:hAnsi="仿宋" w:eastAsia="仿宋" w:cs="仿宋"/>
                <w:sz w:val="24"/>
                <w:szCs w:val="24"/>
                <w:highlight w:val="none"/>
              </w:rPr>
              <w:t>经核查，核查组确认受核查方提交的2023年度最终版排放报告中的企业基本情况、核算边界、活动水平数据、排放因子数据以及温室气体排放核算和报告，符合《工业其他行业企业温室气体排放核算方法与报告指南（试行）》以及监测计划的相关要求。</w:t>
            </w:r>
          </w:p>
          <w:p w14:paraId="6956BD8D">
            <w:pPr>
              <w:spacing w:line="240" w:lineRule="auto"/>
              <w:ind w:firstLine="0" w:firstLineChars="0"/>
              <w:jc w:val="left"/>
              <w:rPr>
                <w:rFonts w:hint="eastAsia" w:ascii="仿宋" w:hAnsi="仿宋" w:eastAsia="仿宋" w:cs="仿宋"/>
                <w:b/>
                <w:sz w:val="24"/>
                <w:szCs w:val="24"/>
                <w:highlight w:val="none"/>
              </w:rPr>
            </w:pPr>
            <w:r>
              <w:rPr>
                <w:rFonts w:hint="eastAsia" w:ascii="仿宋" w:hAnsi="仿宋" w:eastAsia="仿宋" w:cs="仿宋"/>
                <w:b/>
                <w:sz w:val="24"/>
                <w:szCs w:val="24"/>
                <w:highlight w:val="none"/>
              </w:rPr>
              <w:t>2. 排放量声明：</w:t>
            </w:r>
          </w:p>
          <w:p w14:paraId="434B03D0">
            <w:pPr>
              <w:spacing w:line="240" w:lineRule="auto"/>
              <w:ind w:firstLine="0" w:firstLineChars="0"/>
              <w:jc w:val="left"/>
              <w:rPr>
                <w:rFonts w:hint="eastAsia" w:ascii="仿宋" w:hAnsi="仿宋" w:eastAsia="仿宋" w:cs="仿宋"/>
                <w:b/>
                <w:sz w:val="24"/>
                <w:szCs w:val="24"/>
                <w:highlight w:val="none"/>
              </w:rPr>
            </w:pPr>
            <w:r>
              <w:rPr>
                <w:rFonts w:hint="eastAsia" w:ascii="仿宋" w:hAnsi="仿宋" w:eastAsia="仿宋" w:cs="仿宋"/>
                <w:b/>
                <w:sz w:val="24"/>
                <w:szCs w:val="24"/>
                <w:highlight w:val="none"/>
              </w:rPr>
              <w:t>2.1企业法人边界的排放量声明</w:t>
            </w:r>
          </w:p>
          <w:p w14:paraId="082DCEF5">
            <w:pPr>
              <w:spacing w:line="240" w:lineRule="atLeast"/>
              <w:ind w:firstLine="480"/>
              <w:rPr>
                <w:rFonts w:hint="eastAsia" w:ascii="仿宋" w:hAnsi="仿宋" w:eastAsia="仿宋" w:cs="仿宋"/>
                <w:sz w:val="24"/>
                <w:szCs w:val="24"/>
                <w:highlight w:val="none"/>
              </w:rPr>
            </w:pPr>
            <w:r>
              <w:rPr>
                <w:rFonts w:hint="eastAsia" w:ascii="仿宋" w:hAnsi="仿宋" w:eastAsia="仿宋" w:cs="仿宋"/>
                <w:sz w:val="24"/>
                <w:szCs w:val="24"/>
                <w:highlight w:val="none"/>
              </w:rPr>
              <w:t>经核查的2023年度</w:t>
            </w:r>
            <w:r>
              <w:rPr>
                <w:rFonts w:hint="default" w:ascii="Times New Roman" w:hAnsi="Times New Roman" w:eastAsia="仿宋" w:cs="Times New Roman"/>
                <w:sz w:val="24"/>
                <w:szCs w:val="24"/>
                <w:highlight w:val="none"/>
              </w:rPr>
              <w:t>郯城众一科环化工有限公司</w:t>
            </w:r>
            <w:r>
              <w:rPr>
                <w:rFonts w:hint="eastAsia" w:ascii="仿宋" w:hAnsi="仿宋" w:eastAsia="仿宋" w:cs="仿宋"/>
                <w:sz w:val="24"/>
                <w:szCs w:val="24"/>
                <w:highlight w:val="none"/>
              </w:rPr>
              <w:t>企业法人边界的温室气体排放量如下：</w:t>
            </w:r>
          </w:p>
          <w:tbl>
            <w:tblPr>
              <w:tblStyle w:val="27"/>
              <w:tblW w:w="5000" w:type="pct"/>
              <w:jc w:val="center"/>
              <w:tblLayout w:type="autofit"/>
              <w:tblCellMar>
                <w:top w:w="0" w:type="dxa"/>
                <w:left w:w="108" w:type="dxa"/>
                <w:bottom w:w="0" w:type="dxa"/>
                <w:right w:w="108" w:type="dxa"/>
              </w:tblCellMar>
            </w:tblPr>
            <w:tblGrid>
              <w:gridCol w:w="6480"/>
              <w:gridCol w:w="2375"/>
            </w:tblGrid>
            <w:tr w14:paraId="5C574FEF">
              <w:tblPrEx>
                <w:tblCellMar>
                  <w:top w:w="0" w:type="dxa"/>
                  <w:left w:w="108" w:type="dxa"/>
                  <w:bottom w:w="0" w:type="dxa"/>
                  <w:right w:w="108" w:type="dxa"/>
                </w:tblCellMar>
              </w:tblPrEx>
              <w:trPr>
                <w:trHeight w:val="397" w:hRule="atLeast"/>
                <w:jc w:val="center"/>
              </w:trPr>
              <w:tc>
                <w:tcPr>
                  <w:tcW w:w="3659" w:type="pct"/>
                  <w:tcBorders>
                    <w:top w:val="single" w:color="auto" w:sz="4" w:space="0"/>
                    <w:left w:val="single" w:color="auto" w:sz="4" w:space="0"/>
                    <w:bottom w:val="single" w:color="auto" w:sz="4" w:space="0"/>
                    <w:right w:val="single" w:color="auto" w:sz="4" w:space="0"/>
                  </w:tcBorders>
                  <w:shd w:val="clear" w:color="000000" w:fill="FFFFFF"/>
                  <w:vAlign w:val="center"/>
                </w:tcPr>
                <w:p w14:paraId="08772642">
                  <w:pPr>
                    <w:widowControl/>
                    <w:spacing w:line="240" w:lineRule="auto"/>
                    <w:ind w:firstLine="0" w:firstLineChars="0"/>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排放源类别</w:t>
                  </w:r>
                </w:p>
              </w:tc>
              <w:tc>
                <w:tcPr>
                  <w:tcW w:w="1341" w:type="pct"/>
                  <w:tcBorders>
                    <w:top w:val="single" w:color="auto" w:sz="4" w:space="0"/>
                    <w:left w:val="nil"/>
                    <w:bottom w:val="single" w:color="auto" w:sz="4" w:space="0"/>
                    <w:right w:val="single" w:color="auto" w:sz="4" w:space="0"/>
                  </w:tcBorders>
                  <w:shd w:val="clear" w:color="000000" w:fill="FFFFFF"/>
                  <w:vAlign w:val="center"/>
                </w:tcPr>
                <w:p w14:paraId="50CAB81F">
                  <w:pPr>
                    <w:widowControl/>
                    <w:spacing w:line="240" w:lineRule="auto"/>
                    <w:ind w:firstLine="0" w:firstLineChars="0"/>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2023年</w:t>
                  </w:r>
                </w:p>
              </w:tc>
            </w:tr>
            <w:tr w14:paraId="4DFB2C00">
              <w:tblPrEx>
                <w:tblCellMar>
                  <w:top w:w="0" w:type="dxa"/>
                  <w:left w:w="108" w:type="dxa"/>
                  <w:bottom w:w="0" w:type="dxa"/>
                  <w:right w:w="108" w:type="dxa"/>
                </w:tblCellMar>
              </w:tblPrEx>
              <w:trPr>
                <w:trHeight w:val="397" w:hRule="atLeast"/>
                <w:jc w:val="center"/>
              </w:trPr>
              <w:tc>
                <w:tcPr>
                  <w:tcW w:w="3659" w:type="pct"/>
                  <w:tcBorders>
                    <w:top w:val="single" w:color="auto" w:sz="4" w:space="0"/>
                    <w:left w:val="single" w:color="auto" w:sz="4" w:space="0"/>
                    <w:bottom w:val="single" w:color="auto" w:sz="4" w:space="0"/>
                    <w:right w:val="single" w:color="auto" w:sz="4" w:space="0"/>
                  </w:tcBorders>
                  <w:shd w:val="clear" w:color="000000" w:fill="auto"/>
                  <w:vAlign w:val="center"/>
                </w:tcPr>
                <w:p w14:paraId="75C24015">
                  <w:pPr>
                    <w:spacing w:line="240" w:lineRule="auto"/>
                    <w:ind w:firstLine="0" w:firstLineChars="0"/>
                    <w:jc w:val="left"/>
                    <w:rPr>
                      <w:rFonts w:hint="eastAsia" w:ascii="仿宋" w:hAnsi="仿宋" w:eastAsia="仿宋" w:cs="仿宋"/>
                      <w:bCs/>
                      <w:kern w:val="0"/>
                      <w:sz w:val="24"/>
                      <w:szCs w:val="24"/>
                      <w:highlight w:val="none"/>
                    </w:rPr>
                  </w:pPr>
                  <w:bookmarkStart w:id="0" w:name="OLE_LINK3" w:colFirst="1" w:colLast="2"/>
                  <w:r>
                    <w:rPr>
                      <w:rFonts w:hint="eastAsia" w:ascii="仿宋" w:hAnsi="仿宋" w:eastAsia="仿宋" w:cs="仿宋"/>
                      <w:b/>
                      <w:kern w:val="0"/>
                      <w:sz w:val="24"/>
                      <w:szCs w:val="24"/>
                      <w:highlight w:val="none"/>
                    </w:rPr>
                    <w:t>化石燃料燃烧排放量(</w:t>
                  </w:r>
                  <w:r>
                    <w:rPr>
                      <w:rFonts w:hint="eastAsia" w:ascii="仿宋" w:hAnsi="仿宋" w:eastAsia="仿宋" w:cs="仿宋"/>
                      <w:b/>
                      <w:highlight w:val="none"/>
                    </w:rPr>
                    <w:t>tCO</w:t>
                  </w:r>
                  <w:r>
                    <w:rPr>
                      <w:rFonts w:hint="eastAsia" w:ascii="仿宋" w:hAnsi="仿宋" w:eastAsia="仿宋" w:cs="仿宋"/>
                      <w:b/>
                      <w:highlight w:val="none"/>
                      <w:vertAlign w:val="subscript"/>
                    </w:rPr>
                    <w:t>2</w:t>
                  </w:r>
                  <w:r>
                    <w:rPr>
                      <w:rFonts w:hint="eastAsia" w:ascii="仿宋" w:hAnsi="仿宋" w:eastAsia="仿宋" w:cs="仿宋"/>
                      <w:b/>
                      <w:highlight w:val="none"/>
                    </w:rPr>
                    <w:t>e）</w:t>
                  </w:r>
                </w:p>
              </w:tc>
              <w:tc>
                <w:tcPr>
                  <w:tcW w:w="1341" w:type="pct"/>
                  <w:tcBorders>
                    <w:top w:val="single" w:color="auto" w:sz="4" w:space="0"/>
                    <w:left w:val="nil"/>
                    <w:bottom w:val="single" w:color="auto" w:sz="4" w:space="0"/>
                    <w:right w:val="single" w:color="auto" w:sz="4" w:space="0"/>
                  </w:tcBorders>
                  <w:shd w:val="clear" w:color="000000" w:fill="auto"/>
                  <w:vAlign w:val="center"/>
                </w:tcPr>
                <w:p w14:paraId="3C5374D9">
                  <w:pPr>
                    <w:spacing w:line="240" w:lineRule="auto"/>
                    <w:ind w:firstLine="0" w:firstLineChars="0"/>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w:t>
                  </w:r>
                </w:p>
              </w:tc>
            </w:tr>
            <w:tr w14:paraId="460C04A9">
              <w:tblPrEx>
                <w:tblCellMar>
                  <w:top w:w="0" w:type="dxa"/>
                  <w:left w:w="108" w:type="dxa"/>
                  <w:bottom w:w="0" w:type="dxa"/>
                  <w:right w:w="108" w:type="dxa"/>
                </w:tblCellMar>
              </w:tblPrEx>
              <w:trPr>
                <w:trHeight w:val="397" w:hRule="atLeast"/>
                <w:jc w:val="center"/>
              </w:trPr>
              <w:tc>
                <w:tcPr>
                  <w:tcW w:w="3659" w:type="pct"/>
                  <w:tcBorders>
                    <w:top w:val="single" w:color="auto" w:sz="4" w:space="0"/>
                    <w:left w:val="single" w:color="auto" w:sz="4" w:space="0"/>
                    <w:bottom w:val="single" w:color="auto" w:sz="4" w:space="0"/>
                    <w:right w:val="single" w:color="auto" w:sz="4" w:space="0"/>
                  </w:tcBorders>
                  <w:shd w:val="clear" w:color="000000" w:fill="auto"/>
                  <w:vAlign w:val="center"/>
                </w:tcPr>
                <w:p w14:paraId="7ED385C1">
                  <w:pPr>
                    <w:pStyle w:val="62"/>
                    <w:adjustRightInd/>
                    <w:spacing w:line="400" w:lineRule="exact"/>
                    <w:rPr>
                      <w:rFonts w:hint="eastAsia" w:ascii="仿宋" w:hAnsi="仿宋" w:eastAsia="仿宋" w:cs="仿宋"/>
                      <w:highlight w:val="none"/>
                    </w:rPr>
                  </w:pPr>
                  <w:r>
                    <w:rPr>
                      <w:rFonts w:hint="eastAsia" w:ascii="仿宋" w:hAnsi="仿宋" w:eastAsia="仿宋" w:cs="仿宋"/>
                      <w:b/>
                      <w:bCs/>
                      <w:snapToGrid w:val="0"/>
                      <w:color w:val="auto"/>
                      <w:highlight w:val="none"/>
                    </w:rPr>
                    <w:t>净购入使用的电力产生的排放量（tCO</w:t>
                  </w:r>
                  <w:r>
                    <w:rPr>
                      <w:rFonts w:hint="eastAsia" w:ascii="仿宋" w:hAnsi="仿宋" w:eastAsia="仿宋" w:cs="仿宋"/>
                      <w:b/>
                      <w:bCs/>
                      <w:snapToGrid w:val="0"/>
                      <w:color w:val="auto"/>
                      <w:highlight w:val="none"/>
                      <w:vertAlign w:val="subscript"/>
                    </w:rPr>
                    <w:t>2</w:t>
                  </w:r>
                  <w:r>
                    <w:rPr>
                      <w:rFonts w:hint="eastAsia" w:ascii="仿宋" w:hAnsi="仿宋" w:eastAsia="仿宋" w:cs="仿宋"/>
                      <w:b/>
                      <w:bCs/>
                      <w:snapToGrid w:val="0"/>
                      <w:color w:val="auto"/>
                      <w:highlight w:val="none"/>
                    </w:rPr>
                    <w:t>e）</w:t>
                  </w:r>
                </w:p>
              </w:tc>
              <w:tc>
                <w:tcPr>
                  <w:tcW w:w="1341" w:type="pct"/>
                  <w:tcBorders>
                    <w:top w:val="single" w:color="auto" w:sz="4" w:space="0"/>
                    <w:left w:val="nil"/>
                    <w:bottom w:val="single" w:color="auto" w:sz="4" w:space="0"/>
                    <w:right w:val="single" w:color="auto" w:sz="4" w:space="0"/>
                  </w:tcBorders>
                  <w:shd w:val="clear" w:color="000000" w:fill="auto"/>
                  <w:vAlign w:val="center"/>
                </w:tcPr>
                <w:p w14:paraId="2DBC94BD">
                  <w:pPr>
                    <w:spacing w:line="240" w:lineRule="auto"/>
                    <w:ind w:firstLine="0" w:firstLineChars="0"/>
                    <w:jc w:val="cente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1293.40</w:t>
                  </w:r>
                </w:p>
              </w:tc>
            </w:tr>
            <w:tr w14:paraId="204A11E5">
              <w:tblPrEx>
                <w:tblCellMar>
                  <w:top w:w="0" w:type="dxa"/>
                  <w:left w:w="108" w:type="dxa"/>
                  <w:bottom w:w="0" w:type="dxa"/>
                  <w:right w:w="108" w:type="dxa"/>
                </w:tblCellMar>
              </w:tblPrEx>
              <w:trPr>
                <w:trHeight w:val="397" w:hRule="atLeast"/>
                <w:jc w:val="center"/>
              </w:trPr>
              <w:tc>
                <w:tcPr>
                  <w:tcW w:w="3659" w:type="pct"/>
                  <w:tcBorders>
                    <w:top w:val="single" w:color="auto" w:sz="4" w:space="0"/>
                    <w:left w:val="single" w:color="auto" w:sz="4" w:space="0"/>
                    <w:bottom w:val="single" w:color="auto" w:sz="4" w:space="0"/>
                    <w:right w:val="single" w:color="auto" w:sz="4" w:space="0"/>
                  </w:tcBorders>
                  <w:shd w:val="clear" w:color="000000" w:fill="auto"/>
                  <w:vAlign w:val="center"/>
                </w:tcPr>
                <w:p w14:paraId="2BBBA909">
                  <w:pPr>
                    <w:pStyle w:val="62"/>
                    <w:adjustRightInd/>
                    <w:spacing w:line="400" w:lineRule="exact"/>
                    <w:rPr>
                      <w:rFonts w:hint="eastAsia" w:ascii="仿宋" w:hAnsi="仿宋" w:eastAsia="仿宋" w:cs="仿宋"/>
                      <w:b/>
                      <w:bCs/>
                      <w:snapToGrid w:val="0"/>
                      <w:color w:val="auto"/>
                      <w:highlight w:val="none"/>
                    </w:rPr>
                  </w:pPr>
                  <w:r>
                    <w:rPr>
                      <w:rFonts w:hint="eastAsia" w:ascii="仿宋" w:hAnsi="仿宋" w:eastAsia="仿宋" w:cs="仿宋"/>
                      <w:b/>
                      <w:bCs/>
                      <w:snapToGrid w:val="0"/>
                      <w:color w:val="auto"/>
                      <w:highlight w:val="none"/>
                    </w:rPr>
                    <w:t>净购入使用的热力产生的排放量（tCO</w:t>
                  </w:r>
                  <w:r>
                    <w:rPr>
                      <w:rFonts w:hint="eastAsia" w:ascii="仿宋" w:hAnsi="仿宋" w:eastAsia="仿宋" w:cs="仿宋"/>
                      <w:b/>
                      <w:bCs/>
                      <w:snapToGrid w:val="0"/>
                      <w:color w:val="auto"/>
                      <w:highlight w:val="none"/>
                      <w:vertAlign w:val="subscript"/>
                    </w:rPr>
                    <w:t>2</w:t>
                  </w:r>
                  <w:r>
                    <w:rPr>
                      <w:rFonts w:hint="eastAsia" w:ascii="仿宋" w:hAnsi="仿宋" w:eastAsia="仿宋" w:cs="仿宋"/>
                      <w:b/>
                      <w:bCs/>
                      <w:snapToGrid w:val="0"/>
                      <w:color w:val="auto"/>
                      <w:highlight w:val="none"/>
                    </w:rPr>
                    <w:t>e）</w:t>
                  </w:r>
                </w:p>
              </w:tc>
              <w:tc>
                <w:tcPr>
                  <w:tcW w:w="1341" w:type="pct"/>
                  <w:tcBorders>
                    <w:top w:val="single" w:color="auto" w:sz="4" w:space="0"/>
                    <w:left w:val="nil"/>
                    <w:bottom w:val="single" w:color="auto" w:sz="4" w:space="0"/>
                    <w:right w:val="single" w:color="auto" w:sz="4" w:space="0"/>
                  </w:tcBorders>
                  <w:shd w:val="clear" w:color="000000" w:fill="auto"/>
                  <w:vAlign w:val="center"/>
                </w:tcPr>
                <w:p w14:paraId="2DE6C7C0">
                  <w:pPr>
                    <w:spacing w:line="240" w:lineRule="auto"/>
                    <w:ind w:firstLine="0" w:firstLineChars="0"/>
                    <w:jc w:val="cente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737.27</w:t>
                  </w:r>
                </w:p>
              </w:tc>
            </w:tr>
            <w:bookmarkEnd w:id="0"/>
            <w:tr w14:paraId="23F5FE0E">
              <w:tblPrEx>
                <w:tblCellMar>
                  <w:top w:w="0" w:type="dxa"/>
                  <w:left w:w="108" w:type="dxa"/>
                  <w:bottom w:w="0" w:type="dxa"/>
                  <w:right w:w="108" w:type="dxa"/>
                </w:tblCellMar>
              </w:tblPrEx>
              <w:trPr>
                <w:trHeight w:val="397" w:hRule="atLeast"/>
                <w:jc w:val="center"/>
              </w:trPr>
              <w:tc>
                <w:tcPr>
                  <w:tcW w:w="3659" w:type="pct"/>
                  <w:tcBorders>
                    <w:top w:val="single" w:color="auto" w:sz="4" w:space="0"/>
                    <w:left w:val="single" w:color="auto" w:sz="4" w:space="0"/>
                    <w:bottom w:val="single" w:color="auto" w:sz="4" w:space="0"/>
                    <w:right w:val="single" w:color="auto" w:sz="4" w:space="0"/>
                  </w:tcBorders>
                  <w:shd w:val="clear" w:color="000000" w:fill="auto"/>
                  <w:vAlign w:val="center"/>
                </w:tcPr>
                <w:p w14:paraId="7D173450">
                  <w:pPr>
                    <w:widowControl/>
                    <w:spacing w:line="240" w:lineRule="auto"/>
                    <w:ind w:firstLine="0" w:firstLineChars="0"/>
                    <w:jc w:val="left"/>
                    <w:rPr>
                      <w:rFonts w:hint="eastAsia" w:ascii="仿宋" w:hAnsi="仿宋" w:eastAsia="仿宋" w:cs="仿宋"/>
                      <w:kern w:val="0"/>
                      <w:sz w:val="24"/>
                      <w:szCs w:val="24"/>
                      <w:highlight w:val="none"/>
                    </w:rPr>
                  </w:pPr>
                  <w:r>
                    <w:rPr>
                      <w:rFonts w:hint="eastAsia" w:ascii="仿宋" w:hAnsi="仿宋" w:eastAsia="仿宋" w:cs="仿宋"/>
                      <w:b/>
                      <w:bCs/>
                      <w:kern w:val="0"/>
                      <w:sz w:val="24"/>
                      <w:szCs w:val="24"/>
                      <w:highlight w:val="none"/>
                    </w:rPr>
                    <w:t>企业二氧化碳排放总量(</w:t>
                  </w:r>
                  <w:r>
                    <w:rPr>
                      <w:rFonts w:hint="eastAsia" w:ascii="仿宋" w:hAnsi="仿宋" w:eastAsia="仿宋" w:cs="仿宋"/>
                      <w:b/>
                      <w:bCs/>
                      <w:sz w:val="24"/>
                      <w:szCs w:val="24"/>
                      <w:highlight w:val="none"/>
                    </w:rPr>
                    <w:t>tCO</w:t>
                  </w:r>
                  <w:r>
                    <w:rPr>
                      <w:rFonts w:hint="eastAsia" w:ascii="仿宋" w:hAnsi="仿宋" w:eastAsia="仿宋" w:cs="仿宋"/>
                      <w:b/>
                      <w:bCs/>
                      <w:sz w:val="24"/>
                      <w:szCs w:val="24"/>
                      <w:highlight w:val="none"/>
                      <w:vertAlign w:val="subscript"/>
                    </w:rPr>
                    <w:t>2</w:t>
                  </w:r>
                  <w:r>
                    <w:rPr>
                      <w:rFonts w:hint="eastAsia" w:ascii="仿宋" w:hAnsi="仿宋" w:eastAsia="仿宋" w:cs="仿宋"/>
                      <w:b/>
                      <w:bCs/>
                      <w:sz w:val="24"/>
                      <w:szCs w:val="24"/>
                      <w:highlight w:val="none"/>
                    </w:rPr>
                    <w:t>e</w:t>
                  </w:r>
                  <w:r>
                    <w:rPr>
                      <w:rFonts w:hint="eastAsia" w:ascii="仿宋" w:hAnsi="仿宋" w:eastAsia="仿宋" w:cs="仿宋"/>
                      <w:b/>
                      <w:bCs/>
                      <w:kern w:val="0"/>
                      <w:sz w:val="24"/>
                      <w:szCs w:val="24"/>
                      <w:highlight w:val="none"/>
                    </w:rPr>
                    <w:t>)</w:t>
                  </w:r>
                </w:p>
              </w:tc>
              <w:tc>
                <w:tcPr>
                  <w:tcW w:w="1341" w:type="pct"/>
                  <w:tcBorders>
                    <w:top w:val="single" w:color="auto" w:sz="4" w:space="0"/>
                    <w:left w:val="nil"/>
                    <w:bottom w:val="single" w:color="auto" w:sz="4" w:space="0"/>
                    <w:right w:val="single" w:color="auto" w:sz="4" w:space="0"/>
                  </w:tcBorders>
                  <w:shd w:val="clear" w:color="000000" w:fill="auto"/>
                  <w:vAlign w:val="center"/>
                </w:tcPr>
                <w:p w14:paraId="2F04C2E8">
                  <w:pPr>
                    <w:spacing w:line="240" w:lineRule="auto"/>
                    <w:ind w:firstLine="0" w:firstLineChars="0"/>
                    <w:jc w:val="cente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2030.67</w:t>
                  </w:r>
                </w:p>
              </w:tc>
            </w:tr>
          </w:tbl>
          <w:p w14:paraId="2BDE9243">
            <w:pPr>
              <w:spacing w:line="240" w:lineRule="auto"/>
              <w:ind w:firstLine="0" w:firstLineChars="0"/>
              <w:jc w:val="left"/>
              <w:rPr>
                <w:rFonts w:hint="eastAsia" w:ascii="仿宋" w:hAnsi="仿宋" w:eastAsia="仿宋" w:cs="仿宋"/>
                <w:b/>
                <w:sz w:val="24"/>
                <w:szCs w:val="24"/>
                <w:highlight w:val="none"/>
              </w:rPr>
            </w:pPr>
            <w:r>
              <w:rPr>
                <w:rFonts w:hint="eastAsia" w:ascii="仿宋" w:hAnsi="仿宋" w:eastAsia="仿宋" w:cs="仿宋"/>
                <w:b/>
                <w:sz w:val="24"/>
                <w:szCs w:val="24"/>
                <w:highlight w:val="none"/>
              </w:rPr>
              <w:t>2.2补充数据表填报的二氧化碳排放量声明</w:t>
            </w:r>
          </w:p>
          <w:p w14:paraId="14521419">
            <w:pPr>
              <w:spacing w:afterLines="50" w:line="240" w:lineRule="auto"/>
              <w:ind w:firstLine="480"/>
              <w:rPr>
                <w:rFonts w:hint="eastAsia" w:ascii="仿宋" w:hAnsi="仿宋" w:eastAsia="仿宋" w:cs="仿宋"/>
                <w:sz w:val="24"/>
                <w:szCs w:val="24"/>
                <w:highlight w:val="none"/>
              </w:rPr>
            </w:pPr>
            <w:r>
              <w:rPr>
                <w:rFonts w:hint="default" w:ascii="Times New Roman" w:hAnsi="Times New Roman" w:eastAsia="仿宋" w:cs="Times New Roman"/>
                <w:sz w:val="24"/>
                <w:szCs w:val="24"/>
                <w:highlight w:val="none"/>
              </w:rPr>
              <w:t>郯城众一科环化工有限公司</w:t>
            </w:r>
            <w:r>
              <w:rPr>
                <w:rFonts w:hint="eastAsia" w:ascii="仿宋" w:hAnsi="仿宋" w:eastAsia="仿宋" w:cs="仿宋"/>
                <w:sz w:val="24"/>
                <w:szCs w:val="24"/>
                <w:highlight w:val="none"/>
              </w:rPr>
              <w:t>属于</w:t>
            </w:r>
            <w:r>
              <w:rPr>
                <w:rFonts w:hint="eastAsia" w:ascii="Times New Roman" w:hAnsi="Times New Roman" w:eastAsia="仿宋" w:cs="Times New Roman"/>
                <w:color w:val="000000"/>
                <w:kern w:val="0"/>
                <w:sz w:val="24"/>
                <w:szCs w:val="24"/>
                <w:highlight w:val="none"/>
                <w:shd w:val="clear"/>
                <w:lang w:val="en-US" w:eastAsia="zh-CN"/>
              </w:rPr>
              <w:t>其他</w:t>
            </w:r>
            <w:r>
              <w:rPr>
                <w:rFonts w:hint="default" w:ascii="Times New Roman" w:hAnsi="Times New Roman" w:eastAsia="仿宋" w:cs="Times New Roman"/>
                <w:color w:val="000000"/>
                <w:kern w:val="0"/>
                <w:sz w:val="24"/>
                <w:szCs w:val="24"/>
                <w:highlight w:val="none"/>
                <w:shd w:val="clear"/>
              </w:rPr>
              <w:t>基础化工原料制造</w:t>
            </w:r>
            <w:r>
              <w:rPr>
                <w:rFonts w:hint="default" w:ascii="Times New Roman" w:hAnsi="Times New Roman" w:eastAsia="仿宋" w:cs="Times New Roman"/>
                <w:color w:val="000000"/>
                <w:kern w:val="0"/>
                <w:sz w:val="24"/>
                <w:szCs w:val="24"/>
                <w:highlight w:val="none"/>
                <w:shd w:val="clear"/>
                <w:lang w:eastAsia="zh-CN"/>
              </w:rPr>
              <w:t>（</w:t>
            </w:r>
            <w:r>
              <w:rPr>
                <w:rFonts w:hint="default" w:ascii="Times New Roman" w:hAnsi="Times New Roman" w:eastAsia="仿宋" w:cs="Times New Roman"/>
                <w:color w:val="000000"/>
                <w:kern w:val="0"/>
                <w:sz w:val="24"/>
                <w:szCs w:val="24"/>
                <w:highlight w:val="none"/>
                <w:shd w:val="clear"/>
                <w:lang w:val="en-US" w:eastAsia="zh-CN"/>
              </w:rPr>
              <w:t>C2619</w:t>
            </w:r>
            <w:r>
              <w:rPr>
                <w:rFonts w:hint="default" w:ascii="Times New Roman" w:hAnsi="Times New Roman" w:eastAsia="仿宋" w:cs="Times New Roman"/>
                <w:color w:val="000000"/>
                <w:kern w:val="0"/>
                <w:sz w:val="24"/>
                <w:szCs w:val="24"/>
                <w:highlight w:val="none"/>
                <w:shd w:val="clear"/>
                <w:lang w:eastAsia="zh-CN"/>
              </w:rPr>
              <w:t>）</w:t>
            </w:r>
            <w:r>
              <w:rPr>
                <w:rFonts w:hint="eastAsia" w:ascii="仿宋" w:hAnsi="仿宋" w:eastAsia="仿宋" w:cs="仿宋"/>
                <w:sz w:val="24"/>
                <w:szCs w:val="24"/>
                <w:highlight w:val="none"/>
              </w:rPr>
              <w:t>，属于八大行业以外，无补充数据表模板，参考化工行业补充数据表修改。经核查的2023年度</w:t>
            </w:r>
            <w:r>
              <w:rPr>
                <w:rFonts w:hint="default" w:ascii="Times New Roman" w:hAnsi="Times New Roman" w:eastAsia="仿宋" w:cs="Times New Roman"/>
                <w:sz w:val="24"/>
                <w:szCs w:val="24"/>
                <w:highlight w:val="none"/>
              </w:rPr>
              <w:t>郯城众一科环化工有限公司</w:t>
            </w:r>
            <w:r>
              <w:rPr>
                <w:rFonts w:hint="eastAsia" w:ascii="仿宋" w:hAnsi="仿宋" w:eastAsia="仿宋" w:cs="仿宋"/>
                <w:sz w:val="24"/>
                <w:szCs w:val="24"/>
                <w:highlight w:val="none"/>
              </w:rPr>
              <w:t>补充报告数据如下：</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8"/>
              <w:gridCol w:w="2255"/>
              <w:gridCol w:w="1940"/>
              <w:gridCol w:w="1304"/>
              <w:gridCol w:w="1888"/>
            </w:tblGrid>
            <w:tr w14:paraId="296AC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4" w:type="pct"/>
                  <w:shd w:val="clear" w:color="000000" w:fill="FFFFFF"/>
                  <w:vAlign w:val="center"/>
                </w:tcPr>
                <w:p w14:paraId="1BADF491">
                  <w:pPr>
                    <w:widowControl/>
                    <w:spacing w:line="240" w:lineRule="auto"/>
                    <w:ind w:firstLine="0" w:firstLineChars="0"/>
                    <w:jc w:val="center"/>
                    <w:rPr>
                      <w:rFonts w:hint="eastAsia" w:ascii="仿宋" w:hAnsi="仿宋" w:eastAsia="仿宋" w:cs="仿宋"/>
                      <w:b/>
                      <w:sz w:val="24"/>
                      <w:szCs w:val="24"/>
                      <w:highlight w:val="none"/>
                    </w:rPr>
                  </w:pPr>
                  <w:r>
                    <w:rPr>
                      <w:rFonts w:hint="eastAsia" w:ascii="仿宋" w:hAnsi="仿宋" w:eastAsia="仿宋" w:cs="仿宋"/>
                      <w:b/>
                      <w:sz w:val="24"/>
                      <w:szCs w:val="24"/>
                      <w:highlight w:val="none"/>
                    </w:rPr>
                    <w:t>年度</w:t>
                  </w:r>
                </w:p>
              </w:tc>
              <w:tc>
                <w:tcPr>
                  <w:tcW w:w="1274" w:type="pct"/>
                  <w:shd w:val="clear" w:color="000000" w:fill="FFFFFF"/>
                  <w:vAlign w:val="center"/>
                </w:tcPr>
                <w:p w14:paraId="1B554B19">
                  <w:pPr>
                    <w:widowControl/>
                    <w:spacing w:line="240" w:lineRule="auto"/>
                    <w:ind w:firstLine="0" w:firstLineChars="0"/>
                    <w:jc w:val="center"/>
                    <w:rPr>
                      <w:rFonts w:hint="eastAsia" w:ascii="仿宋" w:hAnsi="仿宋" w:eastAsia="仿宋" w:cs="仿宋"/>
                      <w:b/>
                      <w:sz w:val="24"/>
                      <w:szCs w:val="24"/>
                      <w:highlight w:val="none"/>
                    </w:rPr>
                  </w:pPr>
                  <w:r>
                    <w:rPr>
                      <w:rFonts w:hint="eastAsia" w:ascii="仿宋" w:hAnsi="仿宋" w:eastAsia="仿宋" w:cs="仿宋"/>
                      <w:b/>
                      <w:sz w:val="24"/>
                      <w:szCs w:val="24"/>
                      <w:highlight w:val="none"/>
                    </w:rPr>
                    <w:t>产品产值（万元）</w:t>
                  </w:r>
                </w:p>
              </w:tc>
              <w:tc>
                <w:tcPr>
                  <w:tcW w:w="1833" w:type="pct"/>
                  <w:gridSpan w:val="2"/>
                  <w:shd w:val="clear" w:color="000000" w:fill="FFFFFF"/>
                  <w:vAlign w:val="center"/>
                </w:tcPr>
                <w:p w14:paraId="631DACEA">
                  <w:pPr>
                    <w:widowControl/>
                    <w:spacing w:line="240" w:lineRule="auto"/>
                    <w:ind w:firstLine="0" w:firstLineChars="0"/>
                    <w:jc w:val="center"/>
                    <w:rPr>
                      <w:rFonts w:hint="eastAsia" w:ascii="仿宋" w:hAnsi="仿宋" w:eastAsia="仿宋" w:cs="仿宋"/>
                      <w:b/>
                      <w:sz w:val="24"/>
                      <w:szCs w:val="24"/>
                      <w:highlight w:val="none"/>
                    </w:rPr>
                  </w:pPr>
                  <w:r>
                    <w:rPr>
                      <w:rFonts w:hint="eastAsia" w:ascii="仿宋" w:hAnsi="仿宋" w:eastAsia="仿宋" w:cs="仿宋"/>
                      <w:b/>
                      <w:sz w:val="24"/>
                      <w:szCs w:val="24"/>
                      <w:highlight w:val="none"/>
                    </w:rPr>
                    <w:t>产品产量（</w:t>
                  </w:r>
                  <w:r>
                    <w:rPr>
                      <w:rFonts w:hint="eastAsia" w:ascii="仿宋" w:hAnsi="仿宋" w:eastAsia="仿宋" w:cs="仿宋"/>
                      <w:b/>
                      <w:sz w:val="24"/>
                      <w:szCs w:val="24"/>
                      <w:highlight w:val="none"/>
                      <w:lang w:val="en-US" w:eastAsia="zh-CN"/>
                    </w:rPr>
                    <w:t>吨</w:t>
                  </w:r>
                  <w:r>
                    <w:rPr>
                      <w:rFonts w:hint="eastAsia" w:ascii="仿宋" w:hAnsi="仿宋" w:eastAsia="仿宋" w:cs="仿宋"/>
                      <w:b/>
                      <w:sz w:val="24"/>
                      <w:szCs w:val="24"/>
                      <w:highlight w:val="none"/>
                    </w:rPr>
                    <w:t>）</w:t>
                  </w:r>
                </w:p>
              </w:tc>
              <w:tc>
                <w:tcPr>
                  <w:tcW w:w="1067" w:type="pct"/>
                  <w:shd w:val="clear" w:color="000000" w:fill="FFFFFF"/>
                  <w:vAlign w:val="center"/>
                </w:tcPr>
                <w:p w14:paraId="51B074B5">
                  <w:pPr>
                    <w:widowControl/>
                    <w:spacing w:line="240" w:lineRule="auto"/>
                    <w:ind w:firstLine="0" w:firstLineChars="0"/>
                    <w:jc w:val="center"/>
                    <w:rPr>
                      <w:rFonts w:hint="eastAsia" w:ascii="仿宋" w:hAnsi="仿宋" w:eastAsia="仿宋" w:cs="仿宋"/>
                      <w:b/>
                      <w:sz w:val="24"/>
                      <w:szCs w:val="24"/>
                      <w:highlight w:val="none"/>
                    </w:rPr>
                  </w:pPr>
                  <w:r>
                    <w:rPr>
                      <w:rFonts w:hint="eastAsia" w:ascii="仿宋" w:hAnsi="仿宋" w:eastAsia="仿宋" w:cs="仿宋"/>
                      <w:b/>
                      <w:sz w:val="24"/>
                      <w:szCs w:val="24"/>
                      <w:highlight w:val="none"/>
                    </w:rPr>
                    <w:t>排放量（tCO</w:t>
                  </w:r>
                  <w:r>
                    <w:rPr>
                      <w:rFonts w:hint="eastAsia" w:ascii="仿宋" w:hAnsi="仿宋" w:eastAsia="仿宋" w:cs="仿宋"/>
                      <w:b/>
                      <w:sz w:val="24"/>
                      <w:szCs w:val="24"/>
                      <w:highlight w:val="none"/>
                      <w:vertAlign w:val="subscript"/>
                    </w:rPr>
                    <w:t>2</w:t>
                  </w:r>
                  <w:r>
                    <w:rPr>
                      <w:rFonts w:hint="eastAsia" w:ascii="仿宋" w:hAnsi="仿宋" w:eastAsia="仿宋" w:cs="仿宋"/>
                      <w:b/>
                      <w:sz w:val="24"/>
                      <w:szCs w:val="24"/>
                      <w:highlight w:val="none"/>
                    </w:rPr>
                    <w:t>）</w:t>
                  </w:r>
                </w:p>
              </w:tc>
            </w:tr>
            <w:tr w14:paraId="4B046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4" w:type="pct"/>
                  <w:vMerge w:val="restart"/>
                  <w:shd w:val="clear" w:color="000000" w:fill="auto"/>
                  <w:vAlign w:val="center"/>
                </w:tcPr>
                <w:p w14:paraId="75E9DEA8">
                  <w:pPr>
                    <w:widowControl/>
                    <w:spacing w:line="240" w:lineRule="auto"/>
                    <w:ind w:firstLine="0" w:firstLineChars="0"/>
                    <w:jc w:val="center"/>
                    <w:rPr>
                      <w:rFonts w:hint="eastAsia" w:ascii="仿宋" w:hAnsi="仿宋" w:eastAsia="仿宋" w:cs="仿宋"/>
                      <w:bCs/>
                      <w:sz w:val="24"/>
                      <w:szCs w:val="24"/>
                      <w:highlight w:val="none"/>
                    </w:rPr>
                  </w:pPr>
                  <w:r>
                    <w:rPr>
                      <w:rFonts w:hint="eastAsia" w:ascii="仿宋" w:hAnsi="仿宋" w:eastAsia="仿宋" w:cs="仿宋"/>
                      <w:bCs/>
                      <w:sz w:val="24"/>
                      <w:szCs w:val="24"/>
                      <w:highlight w:val="none"/>
                    </w:rPr>
                    <w:t>2023年</w:t>
                  </w:r>
                </w:p>
              </w:tc>
              <w:tc>
                <w:tcPr>
                  <w:tcW w:w="1274" w:type="pct"/>
                  <w:vMerge w:val="restart"/>
                  <w:shd w:val="clear" w:color="auto" w:fill="auto"/>
                  <w:vAlign w:val="center"/>
                </w:tcPr>
                <w:p w14:paraId="7AA82BCB">
                  <w:pPr>
                    <w:widowControl/>
                    <w:spacing w:line="240" w:lineRule="auto"/>
                    <w:ind w:firstLine="0" w:firstLineChars="0"/>
                    <w:jc w:val="center"/>
                    <w:rPr>
                      <w:rFonts w:hint="default" w:ascii="仿宋" w:hAnsi="仿宋" w:eastAsia="仿宋" w:cs="仿宋"/>
                      <w:bCs/>
                      <w:sz w:val="24"/>
                      <w:szCs w:val="24"/>
                      <w:highlight w:val="none"/>
                      <w:lang w:val="en-US" w:eastAsia="zh-CN"/>
                    </w:rPr>
                  </w:pPr>
                  <w:r>
                    <w:rPr>
                      <w:rFonts w:hint="eastAsia" w:ascii="仿宋" w:hAnsi="仿宋" w:eastAsia="仿宋" w:cs="仿宋"/>
                      <w:bCs/>
                      <w:sz w:val="24"/>
                      <w:szCs w:val="24"/>
                      <w:highlight w:val="none"/>
                      <w:shd w:val="clear"/>
                      <w:lang w:val="en-US" w:eastAsia="zh-CN"/>
                    </w:rPr>
                    <w:t>24470.70</w:t>
                  </w:r>
                </w:p>
              </w:tc>
              <w:tc>
                <w:tcPr>
                  <w:tcW w:w="1096" w:type="pct"/>
                  <w:shd w:val="clear" w:color="auto" w:fill="auto"/>
                  <w:vAlign w:val="center"/>
                </w:tcPr>
                <w:p w14:paraId="2DDF95F8">
                  <w:pPr>
                    <w:pStyle w:val="85"/>
                    <w:ind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亚磷酸</w:t>
                  </w:r>
                </w:p>
              </w:tc>
              <w:tc>
                <w:tcPr>
                  <w:tcW w:w="737" w:type="pct"/>
                  <w:shd w:val="clear" w:color="auto" w:fill="auto"/>
                  <w:vAlign w:val="center"/>
                </w:tcPr>
                <w:p w14:paraId="1B044D25">
                  <w:pPr>
                    <w:pStyle w:val="85"/>
                    <w:ind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9690</w:t>
                  </w:r>
                </w:p>
              </w:tc>
              <w:tc>
                <w:tcPr>
                  <w:tcW w:w="1067" w:type="pct"/>
                  <w:vMerge w:val="restart"/>
                  <w:shd w:val="clear" w:color="auto" w:fill="auto"/>
                  <w:vAlign w:val="center"/>
                </w:tcPr>
                <w:p w14:paraId="1E75507A">
                  <w:pPr>
                    <w:widowControl/>
                    <w:spacing w:line="240" w:lineRule="auto"/>
                    <w:ind w:firstLine="0" w:firstLineChars="0"/>
                    <w:jc w:val="center"/>
                    <w:rPr>
                      <w:rFonts w:hint="default" w:ascii="仿宋" w:hAnsi="仿宋" w:eastAsia="仿宋" w:cs="仿宋"/>
                      <w:bCs/>
                      <w:kern w:val="0"/>
                      <w:sz w:val="24"/>
                      <w:szCs w:val="24"/>
                      <w:highlight w:val="none"/>
                      <w:lang w:val="en-US" w:eastAsia="zh-CN"/>
                    </w:rPr>
                  </w:pPr>
                  <w:r>
                    <w:rPr>
                      <w:rFonts w:hint="eastAsia" w:ascii="仿宋" w:hAnsi="仿宋" w:eastAsia="仿宋" w:cs="仿宋"/>
                      <w:bCs/>
                      <w:color w:val="000000" w:themeColor="text1"/>
                      <w:sz w:val="24"/>
                      <w:szCs w:val="24"/>
                      <w:highlight w:val="none"/>
                      <w:shd w:val="clear"/>
                      <w:lang w:val="en-US" w:eastAsia="zh-CN"/>
                      <w14:textFill>
                        <w14:solidFill>
                          <w14:schemeClr w14:val="tx1"/>
                        </w14:solidFill>
                      </w14:textFill>
                    </w:rPr>
                    <w:t>2030.67</w:t>
                  </w:r>
                </w:p>
              </w:tc>
            </w:tr>
            <w:tr w14:paraId="379D0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4" w:type="pct"/>
                  <w:vMerge w:val="continue"/>
                  <w:shd w:val="clear" w:color="000000" w:fill="auto"/>
                  <w:vAlign w:val="center"/>
                </w:tcPr>
                <w:p w14:paraId="34D62083">
                  <w:pPr>
                    <w:widowControl/>
                    <w:spacing w:line="240" w:lineRule="auto"/>
                    <w:ind w:firstLine="0" w:firstLineChars="0"/>
                    <w:jc w:val="center"/>
                    <w:rPr>
                      <w:rFonts w:hint="eastAsia" w:ascii="仿宋" w:hAnsi="仿宋" w:eastAsia="仿宋" w:cs="仿宋"/>
                      <w:bCs/>
                      <w:sz w:val="24"/>
                      <w:szCs w:val="24"/>
                      <w:highlight w:val="none"/>
                    </w:rPr>
                  </w:pPr>
                </w:p>
              </w:tc>
              <w:tc>
                <w:tcPr>
                  <w:tcW w:w="1274" w:type="pct"/>
                  <w:vMerge w:val="continue"/>
                  <w:shd w:val="clear" w:color="000000" w:fill="auto"/>
                  <w:vAlign w:val="center"/>
                </w:tcPr>
                <w:p w14:paraId="1F685E00">
                  <w:pPr>
                    <w:widowControl/>
                    <w:spacing w:line="240" w:lineRule="auto"/>
                    <w:ind w:firstLine="0" w:firstLineChars="0"/>
                    <w:jc w:val="center"/>
                    <w:rPr>
                      <w:rFonts w:hint="eastAsia" w:ascii="仿宋" w:hAnsi="仿宋" w:eastAsia="仿宋" w:cs="仿宋"/>
                      <w:bCs/>
                      <w:sz w:val="24"/>
                      <w:szCs w:val="24"/>
                      <w:highlight w:val="none"/>
                    </w:rPr>
                  </w:pPr>
                </w:p>
              </w:tc>
              <w:tc>
                <w:tcPr>
                  <w:tcW w:w="1096" w:type="pct"/>
                  <w:shd w:val="clear" w:color="000000" w:fill="auto"/>
                  <w:vAlign w:val="center"/>
                </w:tcPr>
                <w:p w14:paraId="37B4C7CF">
                  <w:pPr>
                    <w:pStyle w:val="85"/>
                    <w:ind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氯乙烷</w:t>
                  </w:r>
                </w:p>
              </w:tc>
              <w:tc>
                <w:tcPr>
                  <w:tcW w:w="737" w:type="pct"/>
                  <w:shd w:val="clear" w:color="000000" w:fill="auto"/>
                  <w:vAlign w:val="center"/>
                </w:tcPr>
                <w:p w14:paraId="686F7C92">
                  <w:pPr>
                    <w:pStyle w:val="85"/>
                    <w:ind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15330</w:t>
                  </w:r>
                </w:p>
              </w:tc>
              <w:tc>
                <w:tcPr>
                  <w:tcW w:w="1067" w:type="pct"/>
                  <w:vMerge w:val="continue"/>
                  <w:shd w:val="clear" w:color="000000" w:fill="FFFF00"/>
                  <w:vAlign w:val="center"/>
                </w:tcPr>
                <w:p w14:paraId="124E4B7C">
                  <w:pPr>
                    <w:widowControl/>
                    <w:spacing w:line="240" w:lineRule="auto"/>
                    <w:ind w:firstLine="0" w:firstLineChars="0"/>
                    <w:jc w:val="center"/>
                    <w:rPr>
                      <w:rFonts w:hint="eastAsia" w:ascii="仿宋" w:hAnsi="仿宋" w:eastAsia="仿宋" w:cs="仿宋"/>
                      <w:bCs/>
                      <w:sz w:val="24"/>
                      <w:szCs w:val="24"/>
                      <w:highlight w:val="none"/>
                    </w:rPr>
                  </w:pPr>
                </w:p>
              </w:tc>
            </w:tr>
          </w:tbl>
          <w:p w14:paraId="63726453">
            <w:pPr>
              <w:spacing w:line="240" w:lineRule="auto"/>
              <w:ind w:firstLine="0" w:firstLineChars="0"/>
              <w:jc w:val="left"/>
              <w:rPr>
                <w:rFonts w:hint="eastAsia" w:ascii="仿宋" w:hAnsi="仿宋" w:eastAsia="仿宋" w:cs="仿宋"/>
                <w:b/>
                <w:sz w:val="24"/>
                <w:szCs w:val="24"/>
                <w:highlight w:val="none"/>
              </w:rPr>
            </w:pPr>
            <w:r>
              <w:rPr>
                <w:rFonts w:hint="eastAsia" w:ascii="仿宋" w:hAnsi="仿宋" w:eastAsia="仿宋" w:cs="仿宋"/>
                <w:b/>
                <w:sz w:val="24"/>
                <w:szCs w:val="24"/>
                <w:highlight w:val="none"/>
              </w:rPr>
              <w:t>3. 与上年度相比，排放量存在异常波动的原因说明：</w:t>
            </w:r>
          </w:p>
          <w:p w14:paraId="34960F8E">
            <w:pPr>
              <w:widowControl/>
              <w:ind w:firstLine="561" w:firstLineChars="0"/>
              <w:jc w:val="left"/>
              <w:rPr>
                <w:rFonts w:hint="eastAsia" w:ascii="仿宋" w:hAnsi="仿宋" w:eastAsia="仿宋" w:cs="仿宋"/>
                <w:snapToGrid/>
                <w:sz w:val="24"/>
                <w:szCs w:val="24"/>
                <w:highlight w:val="none"/>
              </w:rPr>
            </w:pPr>
            <w:r>
              <w:rPr>
                <w:rFonts w:hint="default" w:ascii="Times New Roman" w:hAnsi="Times New Roman" w:eastAsia="仿宋" w:cs="Times New Roman"/>
                <w:sz w:val="24"/>
                <w:szCs w:val="24"/>
                <w:highlight w:val="none"/>
              </w:rPr>
              <w:t>郯城众一科环化工有限公司</w:t>
            </w:r>
            <w:r>
              <w:rPr>
                <w:rFonts w:hint="eastAsia" w:ascii="仿宋" w:hAnsi="仿宋" w:eastAsia="仿宋" w:cs="仿宋"/>
                <w:snapToGrid/>
                <w:sz w:val="24"/>
                <w:szCs w:val="24"/>
                <w:highlight w:val="none"/>
              </w:rPr>
              <w:t>2023年度二氧化碳排放量与上一年度比较如下：</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1"/>
              <w:gridCol w:w="1558"/>
              <w:gridCol w:w="1702"/>
              <w:gridCol w:w="2624"/>
            </w:tblGrid>
            <w:tr w14:paraId="52A87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4" w:type="pct"/>
                  <w:shd w:val="clear" w:color="000000" w:fill="auto"/>
                  <w:vAlign w:val="center"/>
                </w:tcPr>
                <w:p w14:paraId="3742E25F">
                  <w:pPr>
                    <w:widowControl/>
                    <w:spacing w:line="240" w:lineRule="auto"/>
                    <w:ind w:firstLine="0" w:firstLineChars="0"/>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年度</w:t>
                  </w:r>
                </w:p>
              </w:tc>
              <w:tc>
                <w:tcPr>
                  <w:tcW w:w="881" w:type="pct"/>
                  <w:shd w:val="clear" w:color="000000" w:fill="auto"/>
                  <w:vAlign w:val="center"/>
                </w:tcPr>
                <w:p w14:paraId="2A92EB32">
                  <w:pPr>
                    <w:widowControl/>
                    <w:spacing w:line="240" w:lineRule="auto"/>
                    <w:ind w:firstLine="0" w:firstLineChars="0"/>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2022年</w:t>
                  </w:r>
                </w:p>
              </w:tc>
              <w:tc>
                <w:tcPr>
                  <w:tcW w:w="962" w:type="pct"/>
                  <w:shd w:val="clear" w:color="000000" w:fill="auto"/>
                  <w:vAlign w:val="center"/>
                </w:tcPr>
                <w:p w14:paraId="7914B27E">
                  <w:pPr>
                    <w:widowControl/>
                    <w:spacing w:line="240" w:lineRule="auto"/>
                    <w:ind w:firstLine="0" w:firstLineChars="0"/>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2023年</w:t>
                  </w:r>
                </w:p>
              </w:tc>
              <w:tc>
                <w:tcPr>
                  <w:tcW w:w="1483" w:type="pct"/>
                  <w:shd w:val="clear" w:color="000000" w:fill="auto"/>
                  <w:vAlign w:val="center"/>
                </w:tcPr>
                <w:p w14:paraId="7CB4D60B">
                  <w:pPr>
                    <w:widowControl/>
                    <w:spacing w:line="240" w:lineRule="auto"/>
                    <w:ind w:firstLine="0" w:firstLineChars="0"/>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2023年相较于2022年波动</w:t>
                  </w:r>
                </w:p>
              </w:tc>
            </w:tr>
            <w:tr w14:paraId="4F3EE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4" w:type="pct"/>
                  <w:vAlign w:val="center"/>
                </w:tcPr>
                <w:p w14:paraId="49D6D575">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企业温室气体排放总量（tCO2）</w:t>
                  </w:r>
                </w:p>
              </w:tc>
              <w:tc>
                <w:tcPr>
                  <w:tcW w:w="881" w:type="pct"/>
                  <w:vAlign w:val="center"/>
                </w:tcPr>
                <w:p w14:paraId="4FE3EEE5">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w:t>
                  </w:r>
                </w:p>
              </w:tc>
              <w:tc>
                <w:tcPr>
                  <w:tcW w:w="962" w:type="pct"/>
                  <w:shd w:val="clear" w:color="auto" w:fill="auto"/>
                  <w:vAlign w:val="center"/>
                </w:tcPr>
                <w:p w14:paraId="1CC9FC86">
                  <w:pPr>
                    <w:widowControl/>
                    <w:spacing w:line="240" w:lineRule="auto"/>
                    <w:ind w:firstLine="0" w:firstLineChars="0"/>
                    <w:jc w:val="center"/>
                    <w:rPr>
                      <w:rFonts w:hint="default" w:ascii="仿宋" w:hAnsi="仿宋" w:eastAsia="仿宋" w:cs="仿宋"/>
                      <w:bCs/>
                      <w:kern w:val="0"/>
                      <w:sz w:val="24"/>
                      <w:szCs w:val="24"/>
                      <w:highlight w:val="none"/>
                      <w:lang w:val="en-US" w:eastAsia="zh-CN"/>
                    </w:rPr>
                  </w:pPr>
                  <w:r>
                    <w:rPr>
                      <w:rFonts w:hint="eastAsia" w:ascii="仿宋" w:hAnsi="仿宋" w:eastAsia="仿宋" w:cs="仿宋"/>
                      <w:sz w:val="24"/>
                      <w:szCs w:val="24"/>
                      <w:highlight w:val="none"/>
                      <w:lang w:val="en-US" w:eastAsia="zh-CN"/>
                    </w:rPr>
                    <w:t>2030.67</w:t>
                  </w:r>
                </w:p>
              </w:tc>
              <w:tc>
                <w:tcPr>
                  <w:tcW w:w="1483" w:type="pct"/>
                  <w:vAlign w:val="center"/>
                </w:tcPr>
                <w:p w14:paraId="42C6E57A">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w:t>
                  </w:r>
                </w:p>
              </w:tc>
            </w:tr>
            <w:tr w14:paraId="38CA9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4" w:type="pct"/>
                  <w:vAlign w:val="center"/>
                </w:tcPr>
                <w:p w14:paraId="0E3FB6B0">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补充数据表二氧化碳排放总量（tCO2）</w:t>
                  </w:r>
                </w:p>
              </w:tc>
              <w:tc>
                <w:tcPr>
                  <w:tcW w:w="881" w:type="pct"/>
                  <w:vAlign w:val="center"/>
                </w:tcPr>
                <w:p w14:paraId="3F306F5B">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w:t>
                  </w:r>
                </w:p>
              </w:tc>
              <w:tc>
                <w:tcPr>
                  <w:tcW w:w="962" w:type="pct"/>
                  <w:shd w:val="clear" w:color="auto" w:fill="auto"/>
                  <w:vAlign w:val="center"/>
                </w:tcPr>
                <w:p w14:paraId="73F3D2DE">
                  <w:pPr>
                    <w:widowControl/>
                    <w:spacing w:line="240" w:lineRule="auto"/>
                    <w:ind w:firstLine="0" w:firstLineChars="0"/>
                    <w:jc w:val="center"/>
                    <w:rPr>
                      <w:rFonts w:hint="default" w:ascii="仿宋" w:hAnsi="仿宋" w:eastAsia="仿宋" w:cs="仿宋"/>
                      <w:bCs/>
                      <w:kern w:val="0"/>
                      <w:sz w:val="24"/>
                      <w:szCs w:val="24"/>
                      <w:highlight w:val="none"/>
                      <w:lang w:val="en-US" w:eastAsia="zh-CN"/>
                    </w:rPr>
                  </w:pPr>
                  <w:r>
                    <w:rPr>
                      <w:rFonts w:hint="eastAsia" w:ascii="仿宋" w:hAnsi="仿宋" w:eastAsia="仿宋" w:cs="仿宋"/>
                      <w:bCs/>
                      <w:sz w:val="24"/>
                      <w:szCs w:val="24"/>
                      <w:highlight w:val="none"/>
                      <w:lang w:val="en-US" w:eastAsia="zh-CN"/>
                    </w:rPr>
                    <w:t>1939.15</w:t>
                  </w:r>
                </w:p>
              </w:tc>
              <w:tc>
                <w:tcPr>
                  <w:tcW w:w="1483" w:type="pct"/>
                  <w:vAlign w:val="center"/>
                </w:tcPr>
                <w:p w14:paraId="1DCA3DF0">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w:t>
                  </w:r>
                </w:p>
              </w:tc>
            </w:tr>
            <w:tr w14:paraId="3819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4" w:type="pct"/>
                  <w:vAlign w:val="center"/>
                </w:tcPr>
                <w:p w14:paraId="57A52270">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产品产值（万元）</w:t>
                  </w:r>
                </w:p>
              </w:tc>
              <w:tc>
                <w:tcPr>
                  <w:tcW w:w="881" w:type="pct"/>
                  <w:vAlign w:val="center"/>
                </w:tcPr>
                <w:p w14:paraId="27AFDC29">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w:t>
                  </w:r>
                </w:p>
              </w:tc>
              <w:tc>
                <w:tcPr>
                  <w:tcW w:w="962" w:type="pct"/>
                  <w:shd w:val="clear" w:color="auto" w:fill="auto"/>
                  <w:vAlign w:val="center"/>
                </w:tcPr>
                <w:p w14:paraId="307EF23A">
                  <w:pPr>
                    <w:widowControl/>
                    <w:spacing w:line="240" w:lineRule="auto"/>
                    <w:ind w:firstLine="0" w:firstLineChars="0"/>
                    <w:jc w:val="center"/>
                    <w:rPr>
                      <w:rFonts w:hint="default" w:ascii="仿宋" w:hAnsi="仿宋" w:eastAsia="仿宋" w:cs="仿宋"/>
                      <w:bCs/>
                      <w:sz w:val="24"/>
                      <w:szCs w:val="24"/>
                      <w:highlight w:val="none"/>
                      <w:lang w:val="en-US" w:eastAsia="zh-CN"/>
                    </w:rPr>
                  </w:pPr>
                  <w:r>
                    <w:rPr>
                      <w:rFonts w:hint="eastAsia" w:ascii="仿宋" w:hAnsi="仿宋" w:eastAsia="仿宋" w:cs="仿宋"/>
                      <w:bCs/>
                      <w:sz w:val="24"/>
                      <w:szCs w:val="24"/>
                      <w:highlight w:val="none"/>
                      <w:lang w:val="en-US" w:eastAsia="zh-CN"/>
                    </w:rPr>
                    <w:t>24470.70</w:t>
                  </w:r>
                </w:p>
              </w:tc>
              <w:tc>
                <w:tcPr>
                  <w:tcW w:w="1483" w:type="pct"/>
                  <w:vAlign w:val="center"/>
                </w:tcPr>
                <w:p w14:paraId="54930973">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snapToGrid/>
                      <w:kern w:val="0"/>
                      <w:sz w:val="24"/>
                      <w:szCs w:val="24"/>
                      <w:highlight w:val="none"/>
                    </w:rPr>
                    <w:drawing>
                      <wp:anchor distT="0" distB="0" distL="114300" distR="114300" simplePos="0" relativeHeight="251661312" behindDoc="1" locked="0" layoutInCell="1" allowOverlap="1">
                        <wp:simplePos x="0" y="0"/>
                        <wp:positionH relativeFrom="column">
                          <wp:posOffset>98425</wp:posOffset>
                        </wp:positionH>
                        <wp:positionV relativeFrom="paragraph">
                          <wp:posOffset>191135</wp:posOffset>
                        </wp:positionV>
                        <wp:extent cx="1442720" cy="1495425"/>
                        <wp:effectExtent l="304800" t="285750" r="290830" b="257175"/>
                        <wp:wrapNone/>
                        <wp:docPr id="2" name="图片 0" descr="1697765549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1697765549071.jpg"/>
                                <pic:cNvPicPr>
                                  <a:picLocks noChangeAspect="1"/>
                                </pic:cNvPicPr>
                              </pic:nvPicPr>
                              <pic:blipFill>
                                <a:blip r:embed="rId22"/>
                                <a:stretch>
                                  <a:fillRect/>
                                </a:stretch>
                              </pic:blipFill>
                              <pic:spPr>
                                <a:xfrm rot="19511350">
                                  <a:off x="0" y="0"/>
                                  <a:ext cx="1442720" cy="1495425"/>
                                </a:xfrm>
                                <a:prstGeom prst="rect">
                                  <a:avLst/>
                                </a:prstGeom>
                              </pic:spPr>
                            </pic:pic>
                          </a:graphicData>
                        </a:graphic>
                      </wp:anchor>
                    </w:drawing>
                  </w:r>
                  <w:r>
                    <w:rPr>
                      <w:rFonts w:hint="eastAsia" w:ascii="仿宋" w:hAnsi="仿宋" w:eastAsia="仿宋" w:cs="仿宋"/>
                      <w:bCs/>
                      <w:kern w:val="0"/>
                      <w:sz w:val="24"/>
                      <w:szCs w:val="24"/>
                      <w:highlight w:val="none"/>
                    </w:rPr>
                    <w:t>/</w:t>
                  </w:r>
                </w:p>
              </w:tc>
            </w:tr>
            <w:tr w14:paraId="3B63D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4" w:type="pct"/>
                  <w:vAlign w:val="center"/>
                </w:tcPr>
                <w:p w14:paraId="6692764F">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单位产值碳排放强度（tCO2/万元）</w:t>
                  </w:r>
                </w:p>
              </w:tc>
              <w:tc>
                <w:tcPr>
                  <w:tcW w:w="881" w:type="pct"/>
                  <w:vAlign w:val="center"/>
                </w:tcPr>
                <w:p w14:paraId="237536A7">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w:t>
                  </w:r>
                </w:p>
              </w:tc>
              <w:tc>
                <w:tcPr>
                  <w:tcW w:w="962" w:type="pct"/>
                  <w:shd w:val="clear" w:color="auto" w:fill="auto"/>
                  <w:vAlign w:val="center"/>
                </w:tcPr>
                <w:p w14:paraId="0E453A99">
                  <w:pPr>
                    <w:widowControl/>
                    <w:spacing w:line="240" w:lineRule="auto"/>
                    <w:ind w:firstLine="0" w:firstLineChars="0"/>
                    <w:jc w:val="center"/>
                    <w:rPr>
                      <w:rFonts w:hint="default" w:ascii="仿宋" w:hAnsi="仿宋" w:eastAsia="仿宋" w:cs="仿宋"/>
                      <w:bCs/>
                      <w:sz w:val="24"/>
                      <w:szCs w:val="24"/>
                      <w:highlight w:val="none"/>
                      <w:lang w:val="en-US" w:eastAsia="zh-CN"/>
                    </w:rPr>
                  </w:pPr>
                  <w:r>
                    <w:rPr>
                      <w:rFonts w:hint="eastAsia" w:ascii="仿宋" w:hAnsi="仿宋" w:eastAsia="仿宋" w:cs="仿宋"/>
                      <w:bCs/>
                      <w:sz w:val="24"/>
                      <w:szCs w:val="24"/>
                      <w:highlight w:val="none"/>
                      <w:lang w:val="en-US" w:eastAsia="zh-CN"/>
                    </w:rPr>
                    <w:t>0.08290</w:t>
                  </w:r>
                </w:p>
              </w:tc>
              <w:tc>
                <w:tcPr>
                  <w:tcW w:w="1483" w:type="pct"/>
                  <w:vAlign w:val="center"/>
                </w:tcPr>
                <w:p w14:paraId="22E7A149">
                  <w:pPr>
                    <w:widowControl/>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w:t>
                  </w:r>
                </w:p>
              </w:tc>
            </w:tr>
          </w:tbl>
          <w:p w14:paraId="7BE5D294">
            <w:pPr>
              <w:widowControl/>
              <w:ind w:firstLine="561" w:firstLineChars="0"/>
              <w:jc w:val="left"/>
              <w:rPr>
                <w:rFonts w:hint="eastAsia" w:ascii="仿宋" w:hAnsi="仿宋" w:eastAsia="仿宋" w:cs="仿宋"/>
                <w:snapToGrid/>
                <w:sz w:val="24"/>
                <w:szCs w:val="24"/>
                <w:highlight w:val="none"/>
              </w:rPr>
            </w:pPr>
            <w:r>
              <w:rPr>
                <w:rFonts w:hint="eastAsia" w:ascii="仿宋" w:hAnsi="仿宋" w:eastAsia="仿宋" w:cs="仿宋"/>
                <w:snapToGrid/>
                <w:sz w:val="24"/>
                <w:szCs w:val="24"/>
                <w:highlight w:val="none"/>
              </w:rPr>
              <w:t>企业2022年度未开展温室气体核查工作，所以2023年度二氧化碳排放量暂不做对比。</w:t>
            </w:r>
          </w:p>
          <w:p w14:paraId="7BB91357">
            <w:pPr>
              <w:spacing w:beforeLines="50" w:afterLines="50" w:line="240" w:lineRule="auto"/>
              <w:ind w:firstLine="0" w:firstLineChars="0"/>
              <w:jc w:val="left"/>
              <w:rPr>
                <w:rFonts w:hint="eastAsia" w:ascii="仿宋" w:hAnsi="仿宋" w:eastAsia="仿宋" w:cs="仿宋"/>
                <w:kern w:val="0"/>
                <w:sz w:val="24"/>
                <w:szCs w:val="24"/>
                <w:highlight w:val="none"/>
              </w:rPr>
            </w:pPr>
            <w:r>
              <w:rPr>
                <w:rFonts w:hint="eastAsia" w:ascii="仿宋" w:hAnsi="仿宋" w:eastAsia="仿宋" w:cs="仿宋"/>
                <w:b/>
                <w:sz w:val="24"/>
                <w:szCs w:val="24"/>
                <w:highlight w:val="none"/>
              </w:rPr>
              <w:t>4. 核查过程中未覆盖的问题或者特别需要说明的问题描述：</w:t>
            </w:r>
          </w:p>
          <w:p w14:paraId="10257769">
            <w:pPr>
              <w:widowControl/>
              <w:ind w:firstLine="561" w:firstLineChars="0"/>
              <w:jc w:val="left"/>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无</w:t>
            </w:r>
          </w:p>
          <w:p w14:paraId="5A6EEAF4">
            <w:pPr>
              <w:spacing w:line="240" w:lineRule="auto"/>
              <w:ind w:firstLine="0" w:firstLineChars="0"/>
              <w:rPr>
                <w:rFonts w:hint="eastAsia" w:ascii="仿宋" w:hAnsi="仿宋" w:eastAsia="仿宋" w:cs="仿宋"/>
                <w:sz w:val="24"/>
                <w:szCs w:val="24"/>
                <w:highlight w:val="none"/>
              </w:rPr>
            </w:pPr>
          </w:p>
        </w:tc>
      </w:tr>
      <w:tr w14:paraId="0D044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4" w:type="dxa"/>
            <w:vAlign w:val="center"/>
          </w:tcPr>
          <w:p w14:paraId="1ECF64C3">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核查组长</w:t>
            </w:r>
          </w:p>
        </w:tc>
        <w:tc>
          <w:tcPr>
            <w:tcW w:w="984" w:type="dxa"/>
            <w:gridSpan w:val="2"/>
            <w:vAlign w:val="center"/>
          </w:tcPr>
          <w:p w14:paraId="1BF060DC">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耿喆</w:t>
            </w:r>
          </w:p>
        </w:tc>
        <w:tc>
          <w:tcPr>
            <w:tcW w:w="1331" w:type="dxa"/>
            <w:vAlign w:val="center"/>
          </w:tcPr>
          <w:p w14:paraId="2EFF1096">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签名</w:t>
            </w:r>
          </w:p>
        </w:tc>
        <w:tc>
          <w:tcPr>
            <w:tcW w:w="1996" w:type="dxa"/>
            <w:gridSpan w:val="4"/>
            <w:vAlign w:val="center"/>
          </w:tcPr>
          <w:p w14:paraId="2F7197B4">
            <w:pPr>
              <w:ind w:firstLine="0" w:firstLineChars="0"/>
              <w:jc w:val="center"/>
              <w:rPr>
                <w:rFonts w:hint="eastAsia" w:ascii="仿宋" w:hAnsi="仿宋" w:eastAsia="仿宋" w:cs="仿宋"/>
                <w:sz w:val="24"/>
                <w:szCs w:val="24"/>
              </w:rPr>
            </w:pPr>
            <w:r>
              <w:rPr>
                <w:rFonts w:hint="eastAsia" w:ascii="仿宋" w:hAnsi="仿宋" w:eastAsia="仿宋" w:cs="仿宋"/>
                <w:snapToGrid/>
                <w:sz w:val="24"/>
                <w:szCs w:val="24"/>
              </w:rPr>
              <w:drawing>
                <wp:inline distT="0" distB="0" distL="0" distR="0">
                  <wp:extent cx="714375" cy="372110"/>
                  <wp:effectExtent l="1905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3" cstate="print"/>
                          <a:srcRect/>
                          <a:stretch>
                            <a:fillRect/>
                          </a:stretch>
                        </pic:blipFill>
                        <pic:spPr>
                          <a:xfrm>
                            <a:off x="0" y="0"/>
                            <a:ext cx="714375" cy="372387"/>
                          </a:xfrm>
                          <a:prstGeom prst="rect">
                            <a:avLst/>
                          </a:prstGeom>
                          <a:noFill/>
                          <a:ln w="9525">
                            <a:noFill/>
                            <a:miter lim="800000"/>
                            <a:headEnd/>
                            <a:tailEnd/>
                          </a:ln>
                        </pic:spPr>
                      </pic:pic>
                    </a:graphicData>
                  </a:graphic>
                </wp:inline>
              </w:drawing>
            </w:r>
          </w:p>
        </w:tc>
        <w:tc>
          <w:tcPr>
            <w:tcW w:w="707" w:type="dxa"/>
            <w:gridSpan w:val="2"/>
            <w:vAlign w:val="center"/>
          </w:tcPr>
          <w:p w14:paraId="128BEC0D">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日期</w:t>
            </w:r>
          </w:p>
        </w:tc>
        <w:tc>
          <w:tcPr>
            <w:tcW w:w="2539" w:type="dxa"/>
            <w:shd w:val="clear" w:color="auto" w:fill="auto"/>
            <w:vAlign w:val="center"/>
          </w:tcPr>
          <w:p w14:paraId="60EEF380">
            <w:pPr>
              <w:ind w:firstLine="0" w:firstLineChars="0"/>
              <w:jc w:val="center"/>
              <w:rPr>
                <w:rFonts w:hint="eastAsia" w:ascii="仿宋" w:hAnsi="仿宋" w:eastAsia="仿宋" w:cs="仿宋"/>
                <w:sz w:val="24"/>
                <w:szCs w:val="24"/>
              </w:rPr>
            </w:pPr>
            <w:r>
              <w:rPr>
                <w:rFonts w:hint="eastAsia" w:ascii="仿宋" w:hAnsi="仿宋" w:eastAsia="仿宋" w:cs="仿宋"/>
                <w:sz w:val="24"/>
                <w:szCs w:val="24"/>
                <w:shd w:val="clear"/>
              </w:rPr>
              <w:t>2024年</w:t>
            </w:r>
            <w:r>
              <w:rPr>
                <w:rFonts w:hint="eastAsia" w:ascii="仿宋" w:hAnsi="仿宋" w:eastAsia="仿宋" w:cs="仿宋"/>
                <w:sz w:val="24"/>
                <w:szCs w:val="24"/>
                <w:shd w:val="clear"/>
                <w:lang w:val="en-US" w:eastAsia="zh-CN"/>
              </w:rPr>
              <w:t>8</w:t>
            </w:r>
            <w:r>
              <w:rPr>
                <w:rFonts w:hint="eastAsia" w:ascii="仿宋" w:hAnsi="仿宋" w:eastAsia="仿宋" w:cs="仿宋"/>
                <w:sz w:val="24"/>
                <w:szCs w:val="24"/>
                <w:shd w:val="clear"/>
              </w:rPr>
              <w:t>月2</w:t>
            </w:r>
            <w:r>
              <w:rPr>
                <w:rFonts w:hint="eastAsia" w:ascii="仿宋" w:hAnsi="仿宋" w:eastAsia="仿宋" w:cs="仿宋"/>
                <w:sz w:val="24"/>
                <w:szCs w:val="24"/>
                <w:shd w:val="clear"/>
                <w:lang w:val="en-US" w:eastAsia="zh-CN"/>
              </w:rPr>
              <w:t>3</w:t>
            </w:r>
            <w:r>
              <w:rPr>
                <w:rFonts w:hint="eastAsia" w:ascii="仿宋" w:hAnsi="仿宋" w:eastAsia="仿宋" w:cs="仿宋"/>
                <w:sz w:val="24"/>
                <w:szCs w:val="24"/>
                <w:shd w:val="clear"/>
              </w:rPr>
              <w:t>日</w:t>
            </w:r>
          </w:p>
        </w:tc>
      </w:tr>
      <w:tr w14:paraId="4DE57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4" w:type="dxa"/>
            <w:vAlign w:val="center"/>
          </w:tcPr>
          <w:p w14:paraId="6BB150E4">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核查组成员</w:t>
            </w:r>
          </w:p>
        </w:tc>
        <w:tc>
          <w:tcPr>
            <w:tcW w:w="7557" w:type="dxa"/>
            <w:gridSpan w:val="10"/>
            <w:shd w:val="clear" w:color="auto" w:fill="auto"/>
            <w:vAlign w:val="center"/>
          </w:tcPr>
          <w:p w14:paraId="3B0D052C">
            <w:pPr>
              <w:ind w:firstLine="0" w:firstLineChars="0"/>
              <w:rPr>
                <w:rFonts w:hint="eastAsia" w:ascii="仿宋" w:hAnsi="仿宋" w:eastAsia="仿宋" w:cs="仿宋"/>
                <w:sz w:val="24"/>
                <w:szCs w:val="24"/>
              </w:rPr>
            </w:pPr>
            <w:r>
              <w:rPr>
                <w:rFonts w:hint="eastAsia" w:ascii="仿宋" w:hAnsi="仿宋" w:eastAsia="仿宋" w:cs="仿宋"/>
                <w:sz w:val="24"/>
                <w:szCs w:val="24"/>
              </w:rPr>
              <w:t>李阳、王煦</w:t>
            </w:r>
          </w:p>
        </w:tc>
      </w:tr>
      <w:tr w14:paraId="40F5C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4" w:type="dxa"/>
            <w:vAlign w:val="center"/>
          </w:tcPr>
          <w:p w14:paraId="787DE03A">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技术复核人</w:t>
            </w:r>
          </w:p>
        </w:tc>
        <w:tc>
          <w:tcPr>
            <w:tcW w:w="984" w:type="dxa"/>
            <w:gridSpan w:val="2"/>
            <w:vAlign w:val="center"/>
          </w:tcPr>
          <w:p w14:paraId="057745DA">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李安冬</w:t>
            </w:r>
          </w:p>
        </w:tc>
        <w:tc>
          <w:tcPr>
            <w:tcW w:w="1331" w:type="dxa"/>
            <w:vAlign w:val="center"/>
          </w:tcPr>
          <w:p w14:paraId="64D41EEC">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签名</w:t>
            </w:r>
          </w:p>
        </w:tc>
        <w:tc>
          <w:tcPr>
            <w:tcW w:w="1996" w:type="dxa"/>
            <w:gridSpan w:val="4"/>
            <w:vAlign w:val="center"/>
          </w:tcPr>
          <w:p w14:paraId="5678D028">
            <w:pPr>
              <w:ind w:firstLine="0" w:firstLineChars="0"/>
              <w:jc w:val="center"/>
              <w:rPr>
                <w:rFonts w:hint="eastAsia" w:ascii="仿宋" w:hAnsi="仿宋" w:eastAsia="仿宋" w:cs="仿宋"/>
                <w:sz w:val="24"/>
                <w:szCs w:val="24"/>
              </w:rPr>
            </w:pPr>
            <w:r>
              <w:rPr>
                <w:rFonts w:hint="eastAsia" w:ascii="仿宋" w:hAnsi="仿宋" w:eastAsia="仿宋" w:cs="仿宋"/>
                <w:snapToGrid/>
                <w:sz w:val="24"/>
                <w:szCs w:val="24"/>
              </w:rPr>
              <w:drawing>
                <wp:inline distT="0" distB="0" distL="0" distR="0">
                  <wp:extent cx="657225" cy="318770"/>
                  <wp:effectExtent l="19050" t="0" r="9525" b="0"/>
                  <wp:docPr id="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2"/>
                          <pic:cNvPicPr>
                            <a:picLocks noChangeAspect="1" noChangeArrowheads="1"/>
                          </pic:cNvPicPr>
                        </pic:nvPicPr>
                        <pic:blipFill>
                          <a:blip r:embed="rId24"/>
                          <a:srcRect/>
                          <a:stretch>
                            <a:fillRect/>
                          </a:stretch>
                        </pic:blipFill>
                        <pic:spPr>
                          <a:xfrm>
                            <a:off x="0" y="0"/>
                            <a:ext cx="666314" cy="323212"/>
                          </a:xfrm>
                          <a:prstGeom prst="rect">
                            <a:avLst/>
                          </a:prstGeom>
                          <a:noFill/>
                          <a:ln w="9525">
                            <a:noFill/>
                            <a:miter lim="800000"/>
                            <a:headEnd/>
                            <a:tailEnd/>
                          </a:ln>
                        </pic:spPr>
                      </pic:pic>
                    </a:graphicData>
                  </a:graphic>
                </wp:inline>
              </w:drawing>
            </w:r>
          </w:p>
        </w:tc>
        <w:tc>
          <w:tcPr>
            <w:tcW w:w="707" w:type="dxa"/>
            <w:gridSpan w:val="2"/>
            <w:vAlign w:val="center"/>
          </w:tcPr>
          <w:p w14:paraId="72EB2D87">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日期</w:t>
            </w:r>
          </w:p>
        </w:tc>
        <w:tc>
          <w:tcPr>
            <w:tcW w:w="2539" w:type="dxa"/>
            <w:shd w:val="clear" w:color="auto" w:fill="auto"/>
            <w:vAlign w:val="center"/>
          </w:tcPr>
          <w:p w14:paraId="480E4D22">
            <w:pPr>
              <w:ind w:firstLine="0" w:firstLineChars="0"/>
              <w:jc w:val="center"/>
              <w:rPr>
                <w:rFonts w:hint="eastAsia" w:ascii="仿宋" w:hAnsi="仿宋" w:eastAsia="仿宋" w:cs="仿宋"/>
                <w:sz w:val="24"/>
                <w:szCs w:val="24"/>
              </w:rPr>
            </w:pPr>
            <w:r>
              <w:rPr>
                <w:rFonts w:hint="eastAsia" w:ascii="仿宋" w:hAnsi="仿宋" w:eastAsia="仿宋" w:cs="仿宋"/>
                <w:sz w:val="24"/>
                <w:szCs w:val="24"/>
                <w:shd w:val="clear"/>
              </w:rPr>
              <w:t>2024年</w:t>
            </w:r>
            <w:r>
              <w:rPr>
                <w:rFonts w:hint="eastAsia" w:ascii="仿宋" w:hAnsi="仿宋" w:eastAsia="仿宋" w:cs="仿宋"/>
                <w:sz w:val="24"/>
                <w:szCs w:val="24"/>
                <w:shd w:val="clear"/>
                <w:lang w:val="en-US" w:eastAsia="zh-CN"/>
              </w:rPr>
              <w:t>8</w:t>
            </w:r>
            <w:r>
              <w:rPr>
                <w:rFonts w:hint="eastAsia" w:ascii="仿宋" w:hAnsi="仿宋" w:eastAsia="仿宋" w:cs="仿宋"/>
                <w:sz w:val="24"/>
                <w:szCs w:val="24"/>
                <w:shd w:val="clear"/>
              </w:rPr>
              <w:t>月2</w:t>
            </w:r>
            <w:r>
              <w:rPr>
                <w:rFonts w:hint="eastAsia" w:ascii="仿宋" w:hAnsi="仿宋" w:eastAsia="仿宋" w:cs="仿宋"/>
                <w:sz w:val="24"/>
                <w:szCs w:val="24"/>
                <w:shd w:val="clear"/>
                <w:lang w:val="en-US" w:eastAsia="zh-CN"/>
              </w:rPr>
              <w:t>3</w:t>
            </w:r>
            <w:r>
              <w:rPr>
                <w:rFonts w:hint="eastAsia" w:ascii="仿宋" w:hAnsi="仿宋" w:eastAsia="仿宋" w:cs="仿宋"/>
                <w:sz w:val="24"/>
                <w:szCs w:val="24"/>
                <w:shd w:val="clear"/>
              </w:rPr>
              <w:t>日</w:t>
            </w:r>
          </w:p>
        </w:tc>
      </w:tr>
      <w:tr w14:paraId="29CA0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4" w:type="dxa"/>
            <w:vAlign w:val="center"/>
          </w:tcPr>
          <w:p w14:paraId="3DA35E74">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批准人</w:t>
            </w:r>
          </w:p>
        </w:tc>
        <w:tc>
          <w:tcPr>
            <w:tcW w:w="984" w:type="dxa"/>
            <w:gridSpan w:val="2"/>
            <w:vAlign w:val="center"/>
          </w:tcPr>
          <w:p w14:paraId="1D17290C">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李金鹏</w:t>
            </w:r>
          </w:p>
        </w:tc>
        <w:tc>
          <w:tcPr>
            <w:tcW w:w="1331" w:type="dxa"/>
            <w:vAlign w:val="center"/>
          </w:tcPr>
          <w:p w14:paraId="0836603D">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签名</w:t>
            </w:r>
          </w:p>
        </w:tc>
        <w:tc>
          <w:tcPr>
            <w:tcW w:w="1996" w:type="dxa"/>
            <w:gridSpan w:val="4"/>
            <w:vAlign w:val="center"/>
          </w:tcPr>
          <w:p w14:paraId="6DB267F8">
            <w:pPr>
              <w:ind w:firstLine="0" w:firstLineChars="0"/>
              <w:jc w:val="center"/>
              <w:rPr>
                <w:rFonts w:hint="eastAsia" w:ascii="仿宋" w:hAnsi="仿宋" w:eastAsia="仿宋" w:cs="仿宋"/>
                <w:sz w:val="24"/>
                <w:szCs w:val="24"/>
              </w:rPr>
            </w:pPr>
            <w:r>
              <w:rPr>
                <w:rFonts w:hint="eastAsia" w:ascii="仿宋" w:hAnsi="仿宋" w:eastAsia="仿宋" w:cs="仿宋"/>
                <w:snapToGrid/>
                <w:sz w:val="24"/>
                <w:szCs w:val="24"/>
              </w:rPr>
              <w:drawing>
                <wp:inline distT="0" distB="0" distL="0" distR="0">
                  <wp:extent cx="845185" cy="287020"/>
                  <wp:effectExtent l="19050" t="76200" r="11445" b="55737"/>
                  <wp:docPr id="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5"/>
                          <pic:cNvPicPr>
                            <a:picLocks noChangeAspect="1" noChangeArrowheads="1"/>
                          </pic:cNvPicPr>
                        </pic:nvPicPr>
                        <pic:blipFill>
                          <a:blip r:embed="rId25" cstate="print"/>
                          <a:srcRect/>
                          <a:stretch>
                            <a:fillRect/>
                          </a:stretch>
                        </pic:blipFill>
                        <pic:spPr>
                          <a:xfrm rot="531298">
                            <a:off x="0" y="0"/>
                            <a:ext cx="845758" cy="287147"/>
                          </a:xfrm>
                          <a:prstGeom prst="rect">
                            <a:avLst/>
                          </a:prstGeom>
                          <a:noFill/>
                          <a:ln w="9525">
                            <a:noFill/>
                            <a:miter lim="800000"/>
                            <a:headEnd/>
                            <a:tailEnd/>
                          </a:ln>
                        </pic:spPr>
                      </pic:pic>
                    </a:graphicData>
                  </a:graphic>
                </wp:inline>
              </w:drawing>
            </w:r>
          </w:p>
        </w:tc>
        <w:tc>
          <w:tcPr>
            <w:tcW w:w="707" w:type="dxa"/>
            <w:gridSpan w:val="2"/>
            <w:vAlign w:val="center"/>
          </w:tcPr>
          <w:p w14:paraId="535D0C5B">
            <w:pPr>
              <w:ind w:firstLine="0" w:firstLineChars="0"/>
              <w:jc w:val="center"/>
              <w:rPr>
                <w:rFonts w:hint="eastAsia" w:ascii="仿宋" w:hAnsi="仿宋" w:eastAsia="仿宋" w:cs="仿宋"/>
                <w:sz w:val="24"/>
                <w:szCs w:val="24"/>
              </w:rPr>
            </w:pPr>
            <w:r>
              <w:rPr>
                <w:rFonts w:hint="eastAsia" w:ascii="仿宋" w:hAnsi="仿宋" w:eastAsia="仿宋" w:cs="仿宋"/>
                <w:sz w:val="24"/>
                <w:szCs w:val="24"/>
              </w:rPr>
              <w:t>日期</w:t>
            </w:r>
          </w:p>
        </w:tc>
        <w:tc>
          <w:tcPr>
            <w:tcW w:w="2539" w:type="dxa"/>
            <w:shd w:val="clear" w:color="auto" w:fill="auto"/>
            <w:vAlign w:val="center"/>
          </w:tcPr>
          <w:p w14:paraId="3BD004B9">
            <w:pPr>
              <w:ind w:firstLine="0" w:firstLineChars="0"/>
              <w:jc w:val="center"/>
              <w:rPr>
                <w:rFonts w:hint="eastAsia" w:ascii="仿宋" w:hAnsi="仿宋" w:eastAsia="仿宋" w:cs="仿宋"/>
                <w:sz w:val="24"/>
                <w:szCs w:val="24"/>
              </w:rPr>
            </w:pPr>
            <w:r>
              <w:rPr>
                <w:rFonts w:hint="eastAsia" w:ascii="仿宋" w:hAnsi="仿宋" w:eastAsia="仿宋" w:cs="仿宋"/>
                <w:sz w:val="24"/>
                <w:szCs w:val="24"/>
                <w:shd w:val="clear"/>
              </w:rPr>
              <w:t>2024年</w:t>
            </w:r>
            <w:r>
              <w:rPr>
                <w:rFonts w:hint="eastAsia" w:ascii="仿宋" w:hAnsi="仿宋" w:eastAsia="仿宋" w:cs="仿宋"/>
                <w:sz w:val="24"/>
                <w:szCs w:val="24"/>
                <w:shd w:val="clear"/>
                <w:lang w:val="en-US" w:eastAsia="zh-CN"/>
              </w:rPr>
              <w:t>8</w:t>
            </w:r>
            <w:r>
              <w:rPr>
                <w:rFonts w:hint="eastAsia" w:ascii="仿宋" w:hAnsi="仿宋" w:eastAsia="仿宋" w:cs="仿宋"/>
                <w:sz w:val="24"/>
                <w:szCs w:val="24"/>
                <w:shd w:val="clear"/>
              </w:rPr>
              <w:t>月2</w:t>
            </w:r>
            <w:r>
              <w:rPr>
                <w:rFonts w:hint="eastAsia" w:ascii="仿宋" w:hAnsi="仿宋" w:eastAsia="仿宋" w:cs="仿宋"/>
                <w:sz w:val="24"/>
                <w:szCs w:val="24"/>
                <w:shd w:val="clear"/>
                <w:lang w:val="en-US" w:eastAsia="zh-CN"/>
              </w:rPr>
              <w:t>3</w:t>
            </w:r>
            <w:r>
              <w:rPr>
                <w:rFonts w:hint="eastAsia" w:ascii="仿宋" w:hAnsi="仿宋" w:eastAsia="仿宋" w:cs="仿宋"/>
                <w:sz w:val="24"/>
                <w:szCs w:val="24"/>
                <w:shd w:val="clear"/>
              </w:rPr>
              <w:t>日</w:t>
            </w:r>
          </w:p>
        </w:tc>
      </w:tr>
    </w:tbl>
    <w:p w14:paraId="5B9FD1B4">
      <w:pPr>
        <w:jc w:val="center"/>
        <w:rPr>
          <w:rFonts w:hint="eastAsia" w:ascii="仿宋" w:hAnsi="仿宋" w:eastAsia="仿宋" w:cs="仿宋"/>
        </w:rPr>
        <w:sectPr>
          <w:headerReference r:id="rId11" w:type="default"/>
          <w:footerReference r:id="rId12" w:type="default"/>
          <w:pgSz w:w="11906" w:h="16838"/>
          <w:pgMar w:top="1440" w:right="1797" w:bottom="1440" w:left="1797" w:header="851" w:footer="851" w:gutter="0"/>
          <w:pgNumType w:fmt="upperRoman" w:start="1"/>
          <w:cols w:space="720" w:num="1"/>
          <w:docGrid w:type="lines" w:linePitch="381" w:charSpace="0"/>
        </w:sectPr>
      </w:pPr>
    </w:p>
    <w:p w14:paraId="0B8DDA29">
      <w:pPr>
        <w:ind w:firstLine="562"/>
        <w:jc w:val="center"/>
        <w:rPr>
          <w:rFonts w:hint="eastAsia" w:ascii="仿宋" w:hAnsi="仿宋" w:eastAsia="仿宋" w:cs="仿宋"/>
          <w:bCs/>
          <w:szCs w:val="28"/>
          <w:u w:val="single"/>
        </w:rPr>
      </w:pPr>
      <w:r>
        <w:rPr>
          <w:rFonts w:hint="eastAsia" w:ascii="仿宋" w:hAnsi="仿宋" w:eastAsia="仿宋" w:cs="仿宋"/>
          <w:b/>
          <w:bCs/>
          <w:szCs w:val="28"/>
        </w:rPr>
        <w:t>碳排放补充数据汇总表</w:t>
      </w:r>
    </w:p>
    <w:tbl>
      <w:tblPr>
        <w:tblStyle w:val="27"/>
        <w:tblW w:w="12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gridCol w:w="649"/>
        <w:gridCol w:w="786"/>
        <w:gridCol w:w="831"/>
        <w:gridCol w:w="833"/>
        <w:gridCol w:w="855"/>
        <w:gridCol w:w="712"/>
        <w:gridCol w:w="650"/>
        <w:gridCol w:w="675"/>
        <w:gridCol w:w="648"/>
        <w:gridCol w:w="625"/>
        <w:gridCol w:w="625"/>
        <w:gridCol w:w="615"/>
        <w:gridCol w:w="950"/>
        <w:gridCol w:w="1466"/>
        <w:gridCol w:w="1450"/>
      </w:tblGrid>
      <w:tr w14:paraId="5C2C8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154" w:type="dxa"/>
            <w:gridSpan w:val="7"/>
            <w:tcBorders>
              <w:top w:val="single" w:color="auto" w:sz="4" w:space="0"/>
              <w:left w:val="single" w:color="auto" w:sz="4" w:space="0"/>
              <w:bottom w:val="single" w:color="auto" w:sz="4" w:space="0"/>
              <w:right w:val="single" w:color="auto" w:sz="4" w:space="0"/>
            </w:tcBorders>
            <w:vAlign w:val="center"/>
          </w:tcPr>
          <w:p w14:paraId="17B7C024">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基本信息</w:t>
            </w:r>
          </w:p>
        </w:tc>
        <w:tc>
          <w:tcPr>
            <w:tcW w:w="3838" w:type="dxa"/>
            <w:gridSpan w:val="6"/>
            <w:tcBorders>
              <w:top w:val="single" w:color="auto" w:sz="4" w:space="0"/>
              <w:left w:val="single" w:color="auto" w:sz="4" w:space="0"/>
              <w:bottom w:val="single" w:color="auto" w:sz="4" w:space="0"/>
              <w:right w:val="single" w:color="auto" w:sz="4" w:space="0"/>
            </w:tcBorders>
            <w:vAlign w:val="center"/>
          </w:tcPr>
          <w:p w14:paraId="11F20717">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主营产品信息</w:t>
            </w:r>
          </w:p>
        </w:tc>
        <w:tc>
          <w:tcPr>
            <w:tcW w:w="3866" w:type="dxa"/>
            <w:gridSpan w:val="3"/>
            <w:tcBorders>
              <w:top w:val="single" w:color="auto" w:sz="4" w:space="0"/>
              <w:left w:val="single" w:color="auto" w:sz="4" w:space="0"/>
              <w:bottom w:val="single" w:color="auto" w:sz="4" w:space="0"/>
              <w:right w:val="single" w:color="auto" w:sz="4" w:space="0"/>
            </w:tcBorders>
            <w:vAlign w:val="center"/>
          </w:tcPr>
          <w:p w14:paraId="60140A24">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能源和温室气体排放相关数据</w:t>
            </w:r>
          </w:p>
        </w:tc>
      </w:tr>
      <w:tr w14:paraId="77AB3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488" w:type="dxa"/>
            <w:vMerge w:val="restart"/>
            <w:tcBorders>
              <w:top w:val="single" w:color="auto" w:sz="4" w:space="0"/>
              <w:left w:val="single" w:color="auto" w:sz="4" w:space="0"/>
              <w:bottom w:val="single" w:color="auto" w:sz="4" w:space="0"/>
              <w:right w:val="single" w:color="auto" w:sz="4" w:space="0"/>
            </w:tcBorders>
            <w:vAlign w:val="center"/>
          </w:tcPr>
          <w:p w14:paraId="3DA5010A">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年度</w:t>
            </w:r>
          </w:p>
        </w:tc>
        <w:tc>
          <w:tcPr>
            <w:tcW w:w="649" w:type="dxa"/>
            <w:vMerge w:val="restart"/>
            <w:tcBorders>
              <w:top w:val="single" w:color="auto" w:sz="4" w:space="0"/>
              <w:left w:val="single" w:color="auto" w:sz="4" w:space="0"/>
              <w:bottom w:val="single" w:color="auto" w:sz="4" w:space="0"/>
              <w:right w:val="single" w:color="auto" w:sz="4" w:space="0"/>
            </w:tcBorders>
            <w:vAlign w:val="center"/>
          </w:tcPr>
          <w:p w14:paraId="40D96E12">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名称</w:t>
            </w:r>
          </w:p>
          <w:p w14:paraId="1F18B85F">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c>
          <w:tcPr>
            <w:tcW w:w="786" w:type="dxa"/>
            <w:vMerge w:val="restart"/>
            <w:tcBorders>
              <w:top w:val="single" w:color="auto" w:sz="4" w:space="0"/>
              <w:left w:val="single" w:color="auto" w:sz="4" w:space="0"/>
              <w:right w:val="single" w:color="auto" w:sz="4" w:space="0"/>
            </w:tcBorders>
            <w:vAlign w:val="center"/>
          </w:tcPr>
          <w:p w14:paraId="684097FC">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统一社会信用代码</w:t>
            </w:r>
          </w:p>
        </w:tc>
        <w:tc>
          <w:tcPr>
            <w:tcW w:w="831" w:type="dxa"/>
            <w:vMerge w:val="restart"/>
            <w:tcBorders>
              <w:top w:val="single" w:color="auto" w:sz="4" w:space="0"/>
              <w:left w:val="single" w:color="auto" w:sz="4" w:space="0"/>
              <w:bottom w:val="single" w:color="auto" w:sz="4" w:space="0"/>
              <w:right w:val="single" w:color="auto" w:sz="4" w:space="0"/>
            </w:tcBorders>
            <w:vAlign w:val="center"/>
          </w:tcPr>
          <w:p w14:paraId="65466058">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在岗职工总数（人）</w:t>
            </w:r>
          </w:p>
        </w:tc>
        <w:tc>
          <w:tcPr>
            <w:tcW w:w="833" w:type="dxa"/>
            <w:vMerge w:val="restart"/>
            <w:tcBorders>
              <w:top w:val="single" w:color="auto" w:sz="4" w:space="0"/>
              <w:left w:val="single" w:color="auto" w:sz="4" w:space="0"/>
              <w:bottom w:val="single" w:color="auto" w:sz="4" w:space="0"/>
              <w:right w:val="single" w:color="auto" w:sz="4" w:space="0"/>
            </w:tcBorders>
            <w:vAlign w:val="center"/>
          </w:tcPr>
          <w:p w14:paraId="2E860060">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固定资产合计（万元）</w:t>
            </w:r>
          </w:p>
        </w:tc>
        <w:tc>
          <w:tcPr>
            <w:tcW w:w="855" w:type="dxa"/>
            <w:vMerge w:val="restart"/>
            <w:tcBorders>
              <w:top w:val="single" w:color="auto" w:sz="4" w:space="0"/>
              <w:left w:val="single" w:color="auto" w:sz="4" w:space="0"/>
              <w:right w:val="single" w:color="auto" w:sz="4" w:space="0"/>
            </w:tcBorders>
            <w:vAlign w:val="center"/>
          </w:tcPr>
          <w:p w14:paraId="460DA1BA">
            <w:pPr>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工业总产值（万元）</w:t>
            </w:r>
          </w:p>
        </w:tc>
        <w:tc>
          <w:tcPr>
            <w:tcW w:w="712" w:type="dxa"/>
            <w:vMerge w:val="restart"/>
            <w:tcBorders>
              <w:top w:val="single" w:color="auto" w:sz="4" w:space="0"/>
              <w:left w:val="single" w:color="auto" w:sz="4" w:space="0"/>
              <w:right w:val="single" w:color="auto" w:sz="4" w:space="0"/>
            </w:tcBorders>
            <w:vAlign w:val="center"/>
          </w:tcPr>
          <w:p w14:paraId="5C10C81C">
            <w:pPr>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行业代码</w:t>
            </w:r>
          </w:p>
        </w:tc>
        <w:tc>
          <w:tcPr>
            <w:tcW w:w="1973" w:type="dxa"/>
            <w:gridSpan w:val="3"/>
            <w:tcBorders>
              <w:top w:val="single" w:color="auto" w:sz="4" w:space="0"/>
              <w:left w:val="single" w:color="auto" w:sz="4" w:space="0"/>
              <w:bottom w:val="single" w:color="auto" w:sz="4" w:space="0"/>
              <w:right w:val="single" w:color="auto" w:sz="4" w:space="0"/>
            </w:tcBorders>
            <w:vAlign w:val="center"/>
          </w:tcPr>
          <w:p w14:paraId="09F797DF">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产品一</w:t>
            </w:r>
          </w:p>
        </w:tc>
        <w:tc>
          <w:tcPr>
            <w:tcW w:w="1865" w:type="dxa"/>
            <w:gridSpan w:val="3"/>
            <w:tcBorders>
              <w:top w:val="single" w:color="auto" w:sz="4" w:space="0"/>
              <w:left w:val="single" w:color="auto" w:sz="4" w:space="0"/>
              <w:bottom w:val="single" w:color="auto" w:sz="4" w:space="0"/>
              <w:right w:val="single" w:color="auto" w:sz="4" w:space="0"/>
            </w:tcBorders>
            <w:vAlign w:val="center"/>
          </w:tcPr>
          <w:p w14:paraId="53CCB27B">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产品二</w:t>
            </w:r>
          </w:p>
        </w:tc>
        <w:tc>
          <w:tcPr>
            <w:tcW w:w="950" w:type="dxa"/>
            <w:vMerge w:val="restart"/>
            <w:tcBorders>
              <w:top w:val="single" w:color="auto" w:sz="4" w:space="0"/>
              <w:left w:val="single" w:color="auto" w:sz="4" w:space="0"/>
              <w:bottom w:val="single" w:color="auto" w:sz="4" w:space="0"/>
              <w:right w:val="single" w:color="auto" w:sz="4" w:space="0"/>
            </w:tcBorders>
            <w:vAlign w:val="center"/>
          </w:tcPr>
          <w:p w14:paraId="10C4BDC8">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综合能耗（万吨标煤）</w:t>
            </w:r>
          </w:p>
        </w:tc>
        <w:tc>
          <w:tcPr>
            <w:tcW w:w="1466" w:type="dxa"/>
            <w:vMerge w:val="restart"/>
            <w:tcBorders>
              <w:top w:val="single" w:color="auto" w:sz="4" w:space="0"/>
              <w:left w:val="single" w:color="auto" w:sz="4" w:space="0"/>
              <w:bottom w:val="single" w:color="auto" w:sz="4" w:space="0"/>
              <w:right w:val="single" w:color="auto" w:sz="4" w:space="0"/>
            </w:tcBorders>
          </w:tcPr>
          <w:p w14:paraId="70A32230">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按照指南核算的企业法人边界的温室气体排放总量（万吨二氧化碳当量）</w:t>
            </w:r>
          </w:p>
        </w:tc>
        <w:tc>
          <w:tcPr>
            <w:tcW w:w="1450" w:type="dxa"/>
            <w:vMerge w:val="restart"/>
            <w:tcBorders>
              <w:top w:val="single" w:color="auto" w:sz="4" w:space="0"/>
              <w:left w:val="single" w:color="auto" w:sz="4" w:space="0"/>
              <w:bottom w:val="single" w:color="auto" w:sz="4" w:space="0"/>
              <w:right w:val="single" w:color="auto" w:sz="4" w:space="0"/>
            </w:tcBorders>
            <w:vAlign w:val="center"/>
          </w:tcPr>
          <w:p w14:paraId="279DB6D9">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按照补充数据核算报告模板填报的二氧化碳排放总量（万吨）</w:t>
            </w:r>
          </w:p>
        </w:tc>
      </w:tr>
      <w:tr w14:paraId="3B5FD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9" w:hRule="atLeast"/>
          <w:jc w:val="center"/>
        </w:trPr>
        <w:tc>
          <w:tcPr>
            <w:tcW w:w="488" w:type="dxa"/>
            <w:vMerge w:val="continue"/>
            <w:tcBorders>
              <w:top w:val="single" w:color="auto" w:sz="4" w:space="0"/>
              <w:left w:val="single" w:color="auto" w:sz="4" w:space="0"/>
              <w:bottom w:val="single" w:color="auto" w:sz="4" w:space="0"/>
              <w:right w:val="single" w:color="auto" w:sz="4" w:space="0"/>
            </w:tcBorders>
            <w:vAlign w:val="center"/>
          </w:tcPr>
          <w:p w14:paraId="360DB7F9">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14:paraId="107236F8">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c>
          <w:tcPr>
            <w:tcW w:w="786" w:type="dxa"/>
            <w:vMerge w:val="continue"/>
            <w:tcBorders>
              <w:left w:val="single" w:color="auto" w:sz="4" w:space="0"/>
              <w:bottom w:val="single" w:color="auto" w:sz="4" w:space="0"/>
              <w:right w:val="single" w:color="auto" w:sz="4" w:space="0"/>
            </w:tcBorders>
            <w:vAlign w:val="center"/>
          </w:tcPr>
          <w:p w14:paraId="04894C9E">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c>
          <w:tcPr>
            <w:tcW w:w="831" w:type="dxa"/>
            <w:vMerge w:val="continue"/>
            <w:tcBorders>
              <w:top w:val="single" w:color="auto" w:sz="4" w:space="0"/>
              <w:left w:val="single" w:color="auto" w:sz="4" w:space="0"/>
              <w:bottom w:val="single" w:color="auto" w:sz="4" w:space="0"/>
              <w:right w:val="single" w:color="auto" w:sz="4" w:space="0"/>
            </w:tcBorders>
            <w:vAlign w:val="center"/>
          </w:tcPr>
          <w:p w14:paraId="17F35A2F">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c>
          <w:tcPr>
            <w:tcW w:w="833" w:type="dxa"/>
            <w:vMerge w:val="continue"/>
            <w:tcBorders>
              <w:top w:val="single" w:color="auto" w:sz="4" w:space="0"/>
              <w:left w:val="single" w:color="auto" w:sz="4" w:space="0"/>
              <w:bottom w:val="single" w:color="auto" w:sz="4" w:space="0"/>
              <w:right w:val="single" w:color="auto" w:sz="4" w:space="0"/>
            </w:tcBorders>
            <w:vAlign w:val="center"/>
          </w:tcPr>
          <w:p w14:paraId="6CD6D176">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c>
          <w:tcPr>
            <w:tcW w:w="855" w:type="dxa"/>
            <w:vMerge w:val="continue"/>
            <w:tcBorders>
              <w:left w:val="single" w:color="auto" w:sz="4" w:space="0"/>
              <w:bottom w:val="single" w:color="auto" w:sz="4" w:space="0"/>
              <w:right w:val="single" w:color="auto" w:sz="4" w:space="0"/>
            </w:tcBorders>
          </w:tcPr>
          <w:p w14:paraId="0530985E">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c>
          <w:tcPr>
            <w:tcW w:w="712" w:type="dxa"/>
            <w:vMerge w:val="continue"/>
            <w:tcBorders>
              <w:left w:val="single" w:color="auto" w:sz="4" w:space="0"/>
              <w:bottom w:val="single" w:color="auto" w:sz="4" w:space="0"/>
              <w:right w:val="single" w:color="auto" w:sz="4" w:space="0"/>
            </w:tcBorders>
          </w:tcPr>
          <w:p w14:paraId="6FD8565D">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c>
          <w:tcPr>
            <w:tcW w:w="650" w:type="dxa"/>
            <w:tcBorders>
              <w:top w:val="single" w:color="auto" w:sz="4" w:space="0"/>
              <w:left w:val="single" w:color="auto" w:sz="4" w:space="0"/>
              <w:bottom w:val="single" w:color="auto" w:sz="4" w:space="0"/>
              <w:right w:val="single" w:color="auto" w:sz="4" w:space="0"/>
            </w:tcBorders>
            <w:vAlign w:val="center"/>
          </w:tcPr>
          <w:p w14:paraId="3E1E0862">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名</w:t>
            </w:r>
          </w:p>
          <w:p w14:paraId="48B307F4">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称</w:t>
            </w:r>
          </w:p>
        </w:tc>
        <w:tc>
          <w:tcPr>
            <w:tcW w:w="675" w:type="dxa"/>
            <w:tcBorders>
              <w:top w:val="single" w:color="auto" w:sz="4" w:space="0"/>
              <w:left w:val="single" w:color="auto" w:sz="4" w:space="0"/>
              <w:bottom w:val="single" w:color="auto" w:sz="4" w:space="0"/>
              <w:right w:val="single" w:color="auto" w:sz="4" w:space="0"/>
            </w:tcBorders>
            <w:vAlign w:val="center"/>
          </w:tcPr>
          <w:p w14:paraId="7FCB7C49">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单位</w:t>
            </w:r>
          </w:p>
        </w:tc>
        <w:tc>
          <w:tcPr>
            <w:tcW w:w="648" w:type="dxa"/>
            <w:tcBorders>
              <w:top w:val="single" w:color="auto" w:sz="4" w:space="0"/>
              <w:left w:val="single" w:color="auto" w:sz="4" w:space="0"/>
              <w:bottom w:val="single" w:color="auto" w:sz="4" w:space="0"/>
              <w:right w:val="single" w:color="auto" w:sz="4" w:space="0"/>
            </w:tcBorders>
            <w:vAlign w:val="center"/>
          </w:tcPr>
          <w:p w14:paraId="4A58F4C1">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产量</w:t>
            </w:r>
          </w:p>
        </w:tc>
        <w:tc>
          <w:tcPr>
            <w:tcW w:w="625" w:type="dxa"/>
            <w:tcBorders>
              <w:top w:val="single" w:color="auto" w:sz="4" w:space="0"/>
              <w:left w:val="single" w:color="auto" w:sz="4" w:space="0"/>
              <w:bottom w:val="single" w:color="auto" w:sz="4" w:space="0"/>
              <w:right w:val="single" w:color="auto" w:sz="4" w:space="0"/>
            </w:tcBorders>
            <w:vAlign w:val="center"/>
          </w:tcPr>
          <w:p w14:paraId="7D346B86">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名称</w:t>
            </w:r>
          </w:p>
        </w:tc>
        <w:tc>
          <w:tcPr>
            <w:tcW w:w="625" w:type="dxa"/>
            <w:tcBorders>
              <w:top w:val="single" w:color="auto" w:sz="4" w:space="0"/>
              <w:left w:val="single" w:color="auto" w:sz="4" w:space="0"/>
              <w:bottom w:val="single" w:color="auto" w:sz="4" w:space="0"/>
              <w:right w:val="single" w:color="auto" w:sz="4" w:space="0"/>
            </w:tcBorders>
            <w:vAlign w:val="center"/>
          </w:tcPr>
          <w:p w14:paraId="329F5F4A">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单位</w:t>
            </w:r>
          </w:p>
        </w:tc>
        <w:tc>
          <w:tcPr>
            <w:tcW w:w="615" w:type="dxa"/>
            <w:tcBorders>
              <w:top w:val="single" w:color="auto" w:sz="4" w:space="0"/>
              <w:left w:val="single" w:color="auto" w:sz="4" w:space="0"/>
              <w:bottom w:val="single" w:color="auto" w:sz="4" w:space="0"/>
              <w:right w:val="single" w:color="auto" w:sz="4" w:space="0"/>
            </w:tcBorders>
            <w:vAlign w:val="center"/>
          </w:tcPr>
          <w:p w14:paraId="77965E17">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4"/>
                <w:szCs w:val="24"/>
              </w:rPr>
              <w:t>产量</w:t>
            </w:r>
          </w:p>
        </w:tc>
        <w:tc>
          <w:tcPr>
            <w:tcW w:w="950" w:type="dxa"/>
            <w:vMerge w:val="continue"/>
            <w:tcBorders>
              <w:top w:val="single" w:color="auto" w:sz="4" w:space="0"/>
              <w:left w:val="single" w:color="auto" w:sz="4" w:space="0"/>
              <w:bottom w:val="single" w:color="auto" w:sz="4" w:space="0"/>
              <w:right w:val="single" w:color="auto" w:sz="4" w:space="0"/>
            </w:tcBorders>
            <w:vAlign w:val="center"/>
          </w:tcPr>
          <w:p w14:paraId="21927B9B">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c>
          <w:tcPr>
            <w:tcW w:w="1466" w:type="dxa"/>
            <w:vMerge w:val="continue"/>
            <w:tcBorders>
              <w:top w:val="single" w:color="auto" w:sz="4" w:space="0"/>
              <w:left w:val="single" w:color="auto" w:sz="4" w:space="0"/>
              <w:bottom w:val="single" w:color="auto" w:sz="4" w:space="0"/>
              <w:right w:val="single" w:color="auto" w:sz="4" w:space="0"/>
            </w:tcBorders>
            <w:vAlign w:val="center"/>
          </w:tcPr>
          <w:p w14:paraId="6D8555D5">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c>
          <w:tcPr>
            <w:tcW w:w="1450" w:type="dxa"/>
            <w:vMerge w:val="continue"/>
            <w:tcBorders>
              <w:top w:val="single" w:color="auto" w:sz="4" w:space="0"/>
              <w:left w:val="single" w:color="auto" w:sz="4" w:space="0"/>
              <w:bottom w:val="single" w:color="auto" w:sz="4" w:space="0"/>
              <w:right w:val="single" w:color="auto" w:sz="4" w:space="0"/>
            </w:tcBorders>
            <w:vAlign w:val="center"/>
          </w:tcPr>
          <w:p w14:paraId="6B6F2513">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p>
        </w:tc>
      </w:tr>
      <w:tr w14:paraId="0DE05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8" w:hRule="atLeast"/>
          <w:jc w:val="center"/>
        </w:trPr>
        <w:tc>
          <w:tcPr>
            <w:tcW w:w="488" w:type="dxa"/>
            <w:tcBorders>
              <w:top w:val="single" w:color="auto" w:sz="4" w:space="0"/>
              <w:left w:val="single" w:color="auto" w:sz="4" w:space="0"/>
              <w:right w:val="single" w:color="auto" w:sz="4" w:space="0"/>
            </w:tcBorders>
            <w:vAlign w:val="center"/>
          </w:tcPr>
          <w:p w14:paraId="3E882D49">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2"/>
                <w:szCs w:val="22"/>
              </w:rPr>
              <w:t>2023年</w:t>
            </w:r>
          </w:p>
        </w:tc>
        <w:tc>
          <w:tcPr>
            <w:tcW w:w="649" w:type="dxa"/>
            <w:tcBorders>
              <w:top w:val="single" w:color="auto" w:sz="4" w:space="0"/>
              <w:left w:val="single" w:color="auto" w:sz="4" w:space="0"/>
              <w:right w:val="single" w:color="auto" w:sz="4" w:space="0"/>
            </w:tcBorders>
            <w:vAlign w:val="center"/>
          </w:tcPr>
          <w:p w14:paraId="51960F39">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default" w:ascii="Times New Roman" w:hAnsi="Times New Roman" w:eastAsia="仿宋" w:cs="Times New Roman"/>
                <w:sz w:val="21"/>
                <w:szCs w:val="21"/>
                <w:highlight w:val="none"/>
              </w:rPr>
              <w:t>郯城众一科环化工有限公司</w:t>
            </w:r>
          </w:p>
        </w:tc>
        <w:tc>
          <w:tcPr>
            <w:tcW w:w="786" w:type="dxa"/>
            <w:tcBorders>
              <w:top w:val="single" w:color="auto" w:sz="4" w:space="0"/>
              <w:left w:val="single" w:color="auto" w:sz="4" w:space="0"/>
              <w:right w:val="single" w:color="auto" w:sz="4" w:space="0"/>
            </w:tcBorders>
            <w:vAlign w:val="center"/>
          </w:tcPr>
          <w:p w14:paraId="1D230C6B">
            <w:pPr>
              <w:widowControl/>
              <w:adjustRightInd w:val="0"/>
              <w:snapToGrid w:val="0"/>
              <w:spacing w:line="240" w:lineRule="auto"/>
              <w:ind w:firstLine="0" w:firstLineChars="0"/>
              <w:jc w:val="center"/>
              <w:textAlignment w:val="center"/>
              <w:rPr>
                <w:rFonts w:hint="eastAsia" w:ascii="仿宋" w:hAnsi="仿宋" w:eastAsia="仿宋" w:cs="仿宋"/>
                <w:sz w:val="24"/>
                <w:szCs w:val="24"/>
              </w:rPr>
            </w:pPr>
            <w:r>
              <w:rPr>
                <w:rFonts w:hint="eastAsia" w:ascii="仿宋" w:hAnsi="仿宋" w:eastAsia="仿宋" w:cs="仿宋"/>
                <w:sz w:val="22"/>
                <w:szCs w:val="24"/>
              </w:rPr>
              <w:t>913713220673512192</w:t>
            </w:r>
          </w:p>
        </w:tc>
        <w:tc>
          <w:tcPr>
            <w:tcW w:w="831" w:type="dxa"/>
            <w:tcBorders>
              <w:top w:val="single" w:color="auto" w:sz="4" w:space="0"/>
              <w:left w:val="single" w:color="auto" w:sz="4" w:space="0"/>
              <w:right w:val="single" w:color="auto" w:sz="4" w:space="0"/>
            </w:tcBorders>
            <w:vAlign w:val="center"/>
          </w:tcPr>
          <w:p w14:paraId="42F16009">
            <w:pPr>
              <w:widowControl/>
              <w:ind w:firstLine="0" w:firstLineChars="0"/>
              <w:jc w:val="center"/>
              <w:textAlignment w:val="center"/>
              <w:rPr>
                <w:rFonts w:hint="default" w:ascii="仿宋" w:hAnsi="仿宋" w:eastAsia="仿宋" w:cs="仿宋"/>
                <w:sz w:val="22"/>
                <w:szCs w:val="24"/>
                <w:highlight w:val="yellow"/>
                <w:lang w:val="en-US" w:eastAsia="zh-CN"/>
              </w:rPr>
            </w:pPr>
            <w:r>
              <w:rPr>
                <w:rFonts w:hint="eastAsia" w:ascii="仿宋" w:hAnsi="仿宋" w:eastAsia="仿宋" w:cs="仿宋"/>
                <w:sz w:val="22"/>
                <w:szCs w:val="24"/>
                <w:highlight w:val="none"/>
                <w:lang w:val="en-US" w:eastAsia="zh-CN"/>
              </w:rPr>
              <w:t>74</w:t>
            </w:r>
          </w:p>
        </w:tc>
        <w:tc>
          <w:tcPr>
            <w:tcW w:w="833" w:type="dxa"/>
            <w:tcBorders>
              <w:top w:val="single" w:color="auto" w:sz="4" w:space="0"/>
              <w:left w:val="single" w:color="auto" w:sz="4" w:space="0"/>
              <w:right w:val="single" w:color="auto" w:sz="4" w:space="0"/>
            </w:tcBorders>
            <w:shd w:val="clear" w:color="auto" w:fill="auto"/>
            <w:vAlign w:val="center"/>
          </w:tcPr>
          <w:p w14:paraId="07AC492F">
            <w:pPr>
              <w:widowControl/>
              <w:adjustRightInd w:val="0"/>
              <w:snapToGrid w:val="0"/>
              <w:spacing w:line="240" w:lineRule="auto"/>
              <w:ind w:firstLine="0" w:firstLineChars="0"/>
              <w:jc w:val="center"/>
              <w:textAlignment w:val="cente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7795</w:t>
            </w:r>
          </w:p>
        </w:tc>
        <w:tc>
          <w:tcPr>
            <w:tcW w:w="855" w:type="dxa"/>
            <w:tcBorders>
              <w:top w:val="single" w:color="auto" w:sz="4" w:space="0"/>
              <w:left w:val="single" w:color="auto" w:sz="4" w:space="0"/>
              <w:right w:val="single" w:color="auto" w:sz="4" w:space="0"/>
            </w:tcBorders>
            <w:shd w:val="clear" w:color="auto" w:fill="auto"/>
            <w:vAlign w:val="center"/>
          </w:tcPr>
          <w:p w14:paraId="30AE22D9">
            <w:pPr>
              <w:widowControl/>
              <w:adjustRightInd w:val="0"/>
              <w:snapToGrid w:val="0"/>
              <w:spacing w:line="240" w:lineRule="auto"/>
              <w:ind w:firstLine="0" w:firstLineChars="0"/>
              <w:jc w:val="center"/>
              <w:textAlignment w:val="cente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2036</w:t>
            </w:r>
          </w:p>
        </w:tc>
        <w:tc>
          <w:tcPr>
            <w:tcW w:w="712" w:type="dxa"/>
            <w:tcBorders>
              <w:top w:val="single" w:color="auto" w:sz="4" w:space="0"/>
              <w:left w:val="single" w:color="auto" w:sz="4" w:space="0"/>
              <w:right w:val="single" w:color="auto" w:sz="4" w:space="0"/>
            </w:tcBorders>
            <w:shd w:val="clear" w:color="auto" w:fill="auto"/>
            <w:vAlign w:val="center"/>
          </w:tcPr>
          <w:p w14:paraId="2806D90C">
            <w:pPr>
              <w:widowControl/>
              <w:spacing w:line="240" w:lineRule="auto"/>
              <w:ind w:firstLine="0" w:firstLineChars="0"/>
              <w:jc w:val="center"/>
              <w:textAlignment w:val="center"/>
              <w:rPr>
                <w:rFonts w:hint="eastAsia" w:ascii="仿宋" w:hAnsi="仿宋" w:eastAsia="仿宋" w:cs="仿宋"/>
                <w:sz w:val="22"/>
                <w:szCs w:val="24"/>
                <w:highlight w:val="none"/>
              </w:rPr>
            </w:pPr>
            <w:r>
              <w:rPr>
                <w:rFonts w:hint="eastAsia" w:ascii="仿宋" w:hAnsi="仿宋" w:eastAsia="仿宋" w:cs="仿宋"/>
                <w:sz w:val="22"/>
                <w:szCs w:val="24"/>
                <w:highlight w:val="none"/>
              </w:rPr>
              <w:t>（2619）</w:t>
            </w:r>
          </w:p>
        </w:tc>
        <w:tc>
          <w:tcPr>
            <w:tcW w:w="650" w:type="dxa"/>
            <w:tcBorders>
              <w:top w:val="single" w:color="auto" w:sz="4" w:space="0"/>
              <w:left w:val="single" w:color="auto" w:sz="4" w:space="0"/>
              <w:right w:val="single" w:color="auto" w:sz="4" w:space="0"/>
            </w:tcBorders>
            <w:shd w:val="clear" w:color="auto" w:fill="auto"/>
            <w:vAlign w:val="center"/>
          </w:tcPr>
          <w:p w14:paraId="0C10BFBC">
            <w:pPr>
              <w:widowControl/>
              <w:adjustRightInd w:val="0"/>
              <w:snapToGrid w:val="0"/>
              <w:spacing w:line="240" w:lineRule="auto"/>
              <w:ind w:firstLine="0" w:firstLineChars="0"/>
              <w:jc w:val="center"/>
              <w:textAlignment w:val="center"/>
              <w:rPr>
                <w:rFonts w:hint="eastAsia" w:ascii="仿宋" w:hAnsi="仿宋" w:eastAsia="仿宋" w:cs="仿宋"/>
                <w:sz w:val="21"/>
                <w:szCs w:val="22"/>
                <w:highlight w:val="none"/>
              </w:rPr>
            </w:pPr>
            <w:r>
              <w:rPr>
                <w:rFonts w:hint="eastAsia" w:ascii="仿宋" w:hAnsi="仿宋" w:eastAsia="仿宋" w:cs="仿宋"/>
                <w:sz w:val="22"/>
                <w:szCs w:val="22"/>
                <w:highlight w:val="none"/>
              </w:rPr>
              <w:t>亚磷酸</w:t>
            </w:r>
          </w:p>
        </w:tc>
        <w:tc>
          <w:tcPr>
            <w:tcW w:w="675" w:type="dxa"/>
            <w:tcBorders>
              <w:top w:val="single" w:color="auto" w:sz="4" w:space="0"/>
              <w:left w:val="single" w:color="auto" w:sz="4" w:space="0"/>
              <w:right w:val="single" w:color="auto" w:sz="4" w:space="0"/>
            </w:tcBorders>
            <w:shd w:val="clear" w:color="auto" w:fill="auto"/>
            <w:vAlign w:val="center"/>
          </w:tcPr>
          <w:p w14:paraId="5A3C0CC2">
            <w:pPr>
              <w:widowControl/>
              <w:adjustRightInd w:val="0"/>
              <w:snapToGrid w:val="0"/>
              <w:spacing w:line="240" w:lineRule="auto"/>
              <w:ind w:firstLine="0" w:firstLineChars="0"/>
              <w:jc w:val="center"/>
              <w:textAlignment w:val="center"/>
              <w:rPr>
                <w:rFonts w:hint="eastAsia" w:ascii="仿宋" w:hAnsi="仿宋" w:eastAsia="仿宋" w:cs="仿宋"/>
                <w:sz w:val="21"/>
                <w:szCs w:val="22"/>
                <w:highlight w:val="none"/>
                <w:lang w:val="en-US" w:eastAsia="zh-CN"/>
              </w:rPr>
            </w:pPr>
            <w:r>
              <w:rPr>
                <w:rFonts w:hint="eastAsia" w:ascii="仿宋" w:hAnsi="仿宋" w:eastAsia="仿宋" w:cs="仿宋"/>
                <w:sz w:val="22"/>
                <w:szCs w:val="22"/>
                <w:highlight w:val="none"/>
                <w:lang w:val="en-US" w:eastAsia="zh-CN"/>
              </w:rPr>
              <w:t>吨</w:t>
            </w:r>
          </w:p>
        </w:tc>
        <w:tc>
          <w:tcPr>
            <w:tcW w:w="648" w:type="dxa"/>
            <w:tcBorders>
              <w:top w:val="single" w:color="auto" w:sz="4" w:space="0"/>
              <w:left w:val="single" w:color="auto" w:sz="4" w:space="0"/>
              <w:right w:val="single" w:color="auto" w:sz="4" w:space="0"/>
            </w:tcBorders>
            <w:shd w:val="clear" w:color="auto" w:fill="auto"/>
            <w:vAlign w:val="center"/>
          </w:tcPr>
          <w:p w14:paraId="6530DD83">
            <w:pPr>
              <w:widowControl/>
              <w:adjustRightInd w:val="0"/>
              <w:snapToGrid w:val="0"/>
              <w:spacing w:line="240" w:lineRule="auto"/>
              <w:ind w:firstLine="0" w:firstLineChars="0"/>
              <w:jc w:val="center"/>
              <w:textAlignment w:val="center"/>
              <w:rPr>
                <w:rFonts w:hint="eastAsia" w:ascii="仿宋" w:hAnsi="仿宋" w:eastAsia="仿宋" w:cs="仿宋"/>
                <w:sz w:val="24"/>
                <w:szCs w:val="24"/>
                <w:highlight w:val="none"/>
              </w:rPr>
            </w:pPr>
            <w:r>
              <w:rPr>
                <w:rFonts w:hint="eastAsia" w:ascii="仿宋" w:hAnsi="仿宋" w:eastAsia="仿宋" w:cs="仿宋"/>
                <w:sz w:val="22"/>
                <w:szCs w:val="22"/>
                <w:highlight w:val="none"/>
              </w:rPr>
              <w:t>9690</w:t>
            </w:r>
          </w:p>
        </w:tc>
        <w:tc>
          <w:tcPr>
            <w:tcW w:w="625" w:type="dxa"/>
            <w:tcBorders>
              <w:top w:val="single" w:color="auto" w:sz="4" w:space="0"/>
              <w:left w:val="single" w:color="auto" w:sz="4" w:space="0"/>
              <w:right w:val="single" w:color="auto" w:sz="4" w:space="0"/>
            </w:tcBorders>
            <w:shd w:val="clear" w:color="auto" w:fill="auto"/>
            <w:vAlign w:val="center"/>
          </w:tcPr>
          <w:p w14:paraId="58E03DFE">
            <w:pPr>
              <w:widowControl/>
              <w:adjustRightInd w:val="0"/>
              <w:snapToGrid w:val="0"/>
              <w:spacing w:line="240" w:lineRule="auto"/>
              <w:ind w:firstLine="0" w:firstLineChars="0"/>
              <w:jc w:val="center"/>
              <w:textAlignment w:val="center"/>
              <w:rPr>
                <w:rFonts w:hint="eastAsia" w:ascii="仿宋" w:hAnsi="仿宋" w:eastAsia="仿宋" w:cs="仿宋"/>
                <w:sz w:val="24"/>
                <w:szCs w:val="24"/>
                <w:highlight w:val="none"/>
              </w:rPr>
            </w:pPr>
            <w:r>
              <w:rPr>
                <w:rFonts w:hint="eastAsia" w:ascii="仿宋" w:hAnsi="仿宋" w:eastAsia="仿宋" w:cs="仿宋"/>
                <w:sz w:val="22"/>
                <w:szCs w:val="22"/>
                <w:highlight w:val="none"/>
              </w:rPr>
              <w:t>氯乙烷</w:t>
            </w:r>
          </w:p>
        </w:tc>
        <w:tc>
          <w:tcPr>
            <w:tcW w:w="625" w:type="dxa"/>
            <w:tcBorders>
              <w:top w:val="single" w:color="auto" w:sz="4" w:space="0"/>
              <w:left w:val="single" w:color="auto" w:sz="4" w:space="0"/>
              <w:right w:val="single" w:color="auto" w:sz="4" w:space="0"/>
            </w:tcBorders>
            <w:shd w:val="clear" w:color="auto" w:fill="auto"/>
            <w:vAlign w:val="center"/>
          </w:tcPr>
          <w:p w14:paraId="7D729940">
            <w:pPr>
              <w:widowControl/>
              <w:adjustRightInd w:val="0"/>
              <w:snapToGrid w:val="0"/>
              <w:spacing w:line="240" w:lineRule="auto"/>
              <w:ind w:firstLine="0" w:firstLineChars="0"/>
              <w:jc w:val="center"/>
              <w:textAlignment w:val="center"/>
              <w:rPr>
                <w:rFonts w:hint="eastAsia" w:ascii="仿宋" w:hAnsi="仿宋" w:eastAsia="仿宋" w:cs="仿宋"/>
                <w:sz w:val="24"/>
                <w:szCs w:val="24"/>
                <w:highlight w:val="none"/>
                <w:lang w:val="en-US" w:eastAsia="zh-CN"/>
              </w:rPr>
            </w:pPr>
            <w:r>
              <w:rPr>
                <w:rFonts w:hint="eastAsia" w:ascii="仿宋" w:hAnsi="仿宋" w:eastAsia="仿宋" w:cs="仿宋"/>
                <w:sz w:val="22"/>
                <w:szCs w:val="22"/>
                <w:highlight w:val="none"/>
                <w:lang w:val="en-US" w:eastAsia="zh-CN"/>
              </w:rPr>
              <w:t>吨</w:t>
            </w:r>
          </w:p>
        </w:tc>
        <w:tc>
          <w:tcPr>
            <w:tcW w:w="615" w:type="dxa"/>
            <w:tcBorders>
              <w:top w:val="single" w:color="auto" w:sz="4" w:space="0"/>
              <w:left w:val="single" w:color="auto" w:sz="4" w:space="0"/>
              <w:right w:val="single" w:color="auto" w:sz="4" w:space="0"/>
            </w:tcBorders>
            <w:shd w:val="clear" w:color="auto" w:fill="auto"/>
            <w:vAlign w:val="center"/>
          </w:tcPr>
          <w:p w14:paraId="6A383044">
            <w:pPr>
              <w:widowControl/>
              <w:adjustRightInd w:val="0"/>
              <w:snapToGrid w:val="0"/>
              <w:spacing w:line="240" w:lineRule="auto"/>
              <w:ind w:firstLine="0" w:firstLineChars="0"/>
              <w:jc w:val="center"/>
              <w:textAlignment w:val="center"/>
              <w:rPr>
                <w:rFonts w:hint="eastAsia" w:ascii="仿宋" w:hAnsi="仿宋" w:eastAsia="仿宋" w:cs="仿宋"/>
                <w:sz w:val="24"/>
                <w:szCs w:val="24"/>
                <w:highlight w:val="none"/>
              </w:rPr>
            </w:pPr>
            <w:r>
              <w:rPr>
                <w:rFonts w:hint="eastAsia" w:ascii="仿宋" w:hAnsi="仿宋" w:eastAsia="仿宋" w:cs="仿宋"/>
                <w:sz w:val="22"/>
                <w:szCs w:val="22"/>
                <w:highlight w:val="none"/>
              </w:rPr>
              <w:t>15330</w:t>
            </w:r>
          </w:p>
        </w:tc>
        <w:tc>
          <w:tcPr>
            <w:tcW w:w="950" w:type="dxa"/>
            <w:tcBorders>
              <w:top w:val="single" w:color="auto" w:sz="4" w:space="0"/>
              <w:left w:val="single" w:color="auto" w:sz="4" w:space="0"/>
              <w:right w:val="single" w:color="auto" w:sz="4" w:space="0"/>
            </w:tcBorders>
            <w:shd w:val="clear" w:color="auto" w:fill="auto"/>
            <w:vAlign w:val="center"/>
          </w:tcPr>
          <w:p w14:paraId="0ABE1A59">
            <w:pPr>
              <w:widowControl/>
              <w:spacing w:line="240" w:lineRule="auto"/>
              <w:ind w:firstLine="0" w:firstLineChars="0"/>
              <w:jc w:val="center"/>
              <w:textAlignment w:val="center"/>
              <w:rPr>
                <w:rFonts w:hint="default" w:ascii="仿宋" w:hAnsi="仿宋" w:eastAsia="仿宋" w:cs="仿宋"/>
                <w:sz w:val="22"/>
                <w:szCs w:val="24"/>
                <w:highlight w:val="none"/>
                <w:lang w:val="en-US" w:eastAsia="zh-CN"/>
              </w:rPr>
            </w:pPr>
            <w:r>
              <w:rPr>
                <w:rFonts w:hint="eastAsia" w:ascii="仿宋" w:hAnsi="仿宋" w:eastAsia="仿宋" w:cs="仿宋"/>
                <w:sz w:val="22"/>
                <w:szCs w:val="24"/>
                <w:highlight w:val="none"/>
                <w:lang w:val="en-US" w:eastAsia="zh-CN"/>
              </w:rPr>
              <w:t>0.0497</w:t>
            </w:r>
          </w:p>
        </w:tc>
        <w:tc>
          <w:tcPr>
            <w:tcW w:w="1466" w:type="dxa"/>
            <w:tcBorders>
              <w:top w:val="single" w:color="auto" w:sz="4" w:space="0"/>
              <w:left w:val="single" w:color="auto" w:sz="4" w:space="0"/>
              <w:right w:val="single" w:color="auto" w:sz="4" w:space="0"/>
            </w:tcBorders>
            <w:shd w:val="clear" w:color="auto" w:fill="auto"/>
            <w:vAlign w:val="center"/>
          </w:tcPr>
          <w:p w14:paraId="67FC3E03">
            <w:pPr>
              <w:widowControl/>
              <w:spacing w:line="240" w:lineRule="auto"/>
              <w:ind w:firstLine="0" w:firstLineChars="0"/>
              <w:jc w:val="center"/>
              <w:textAlignment w:val="center"/>
              <w:rPr>
                <w:rFonts w:hint="default" w:ascii="仿宋" w:hAnsi="仿宋" w:eastAsia="仿宋" w:cs="仿宋"/>
                <w:sz w:val="22"/>
                <w:szCs w:val="24"/>
                <w:highlight w:val="none"/>
                <w:lang w:val="en-US" w:eastAsia="zh-CN"/>
              </w:rPr>
            </w:pPr>
            <w:r>
              <w:rPr>
                <w:rFonts w:hint="eastAsia" w:ascii="仿宋" w:hAnsi="仿宋" w:eastAsia="仿宋" w:cs="仿宋"/>
                <w:sz w:val="22"/>
                <w:szCs w:val="24"/>
                <w:highlight w:val="none"/>
                <w:shd w:val="clear"/>
                <w:lang w:val="en-US" w:eastAsia="zh-CN"/>
              </w:rPr>
              <w:t>0.2030</w:t>
            </w:r>
          </w:p>
        </w:tc>
        <w:tc>
          <w:tcPr>
            <w:tcW w:w="1450" w:type="dxa"/>
            <w:tcBorders>
              <w:top w:val="single" w:color="auto" w:sz="4" w:space="0"/>
              <w:left w:val="single" w:color="auto" w:sz="4" w:space="0"/>
              <w:right w:val="single" w:color="auto" w:sz="4" w:space="0"/>
            </w:tcBorders>
            <w:shd w:val="clear" w:color="auto" w:fill="auto"/>
            <w:vAlign w:val="center"/>
          </w:tcPr>
          <w:p w14:paraId="0C5FB227">
            <w:pPr>
              <w:widowControl/>
              <w:spacing w:line="240" w:lineRule="auto"/>
              <w:ind w:firstLine="0" w:firstLineChars="0"/>
              <w:jc w:val="center"/>
              <w:textAlignment w:val="center"/>
              <w:rPr>
                <w:rFonts w:hint="default" w:ascii="仿宋" w:hAnsi="仿宋" w:eastAsia="仿宋" w:cs="仿宋"/>
                <w:sz w:val="22"/>
                <w:szCs w:val="24"/>
                <w:highlight w:val="none"/>
                <w:lang w:val="en-US" w:eastAsia="zh-CN"/>
              </w:rPr>
            </w:pPr>
            <w:r>
              <w:rPr>
                <w:rFonts w:hint="eastAsia" w:ascii="仿宋" w:hAnsi="仿宋" w:eastAsia="仿宋" w:cs="仿宋"/>
                <w:sz w:val="22"/>
                <w:szCs w:val="24"/>
                <w:highlight w:val="none"/>
                <w:lang w:val="en-US" w:eastAsia="zh-CN"/>
              </w:rPr>
              <w:t>0.1939</w:t>
            </w:r>
          </w:p>
        </w:tc>
      </w:tr>
    </w:tbl>
    <w:p w14:paraId="56744BFB">
      <w:pPr>
        <w:ind w:firstLine="0" w:firstLineChars="0"/>
        <w:jc w:val="left"/>
        <w:rPr>
          <w:rFonts w:hint="eastAsia" w:ascii="仿宋" w:hAnsi="仿宋" w:eastAsia="仿宋" w:cs="仿宋"/>
          <w:bCs/>
          <w:szCs w:val="28"/>
          <w:u w:val="single"/>
        </w:rPr>
        <w:sectPr>
          <w:headerReference r:id="rId13" w:type="default"/>
          <w:pgSz w:w="16838" w:h="11906" w:orient="landscape"/>
          <w:pgMar w:top="1797" w:right="1440" w:bottom="1797" w:left="1440" w:header="851" w:footer="851" w:gutter="0"/>
          <w:pgNumType w:fmt="upperRoman" w:start="1"/>
          <w:cols w:space="720" w:num="1"/>
          <w:docGrid w:type="linesAndChars" w:linePitch="381" w:charSpace="0"/>
        </w:sectPr>
      </w:pPr>
    </w:p>
    <w:p w14:paraId="194BD0AE">
      <w:pPr>
        <w:spacing w:line="240" w:lineRule="auto"/>
        <w:ind w:firstLine="0" w:firstLineChars="0"/>
        <w:jc w:val="center"/>
        <w:rPr>
          <w:rFonts w:hint="eastAsia" w:ascii="仿宋" w:hAnsi="仿宋" w:eastAsia="仿宋" w:cs="仿宋"/>
          <w:szCs w:val="28"/>
        </w:rPr>
      </w:pPr>
      <w:r>
        <w:rPr>
          <w:rFonts w:hint="eastAsia" w:ascii="仿宋" w:hAnsi="仿宋" w:eastAsia="仿宋" w:cs="仿宋"/>
          <w:szCs w:val="28"/>
        </w:rPr>
        <w:t>目录</w:t>
      </w:r>
    </w:p>
    <w:p w14:paraId="5D434E46">
      <w:pPr>
        <w:pStyle w:val="18"/>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TOC \o "1-3" \h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_Toc13346 </w:instrText>
      </w:r>
      <w:r>
        <w:rPr>
          <w:rFonts w:hint="eastAsia" w:ascii="仿宋" w:hAnsi="仿宋" w:eastAsia="仿宋" w:cs="仿宋"/>
        </w:rPr>
        <w:fldChar w:fldCharType="separate"/>
      </w:r>
      <w:r>
        <w:rPr>
          <w:rFonts w:hint="eastAsia" w:ascii="仿宋" w:hAnsi="仿宋" w:eastAsia="仿宋" w:cs="仿宋"/>
          <w:szCs w:val="28"/>
        </w:rPr>
        <w:t>1 概述</w:t>
      </w:r>
      <w:r>
        <w:tab/>
      </w:r>
      <w:r>
        <w:fldChar w:fldCharType="begin"/>
      </w:r>
      <w:r>
        <w:instrText xml:space="preserve"> PAGEREF _Toc13346 \h </w:instrText>
      </w:r>
      <w:r>
        <w:fldChar w:fldCharType="separate"/>
      </w:r>
      <w:r>
        <w:t>4</w:t>
      </w:r>
      <w:r>
        <w:fldChar w:fldCharType="end"/>
      </w:r>
      <w:r>
        <w:rPr>
          <w:rFonts w:hint="eastAsia" w:ascii="仿宋" w:hAnsi="仿宋" w:eastAsia="仿宋" w:cs="仿宋"/>
        </w:rPr>
        <w:fldChar w:fldCharType="end"/>
      </w:r>
    </w:p>
    <w:p w14:paraId="325861DB">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_Toc11564 </w:instrText>
      </w:r>
      <w:r>
        <w:rPr>
          <w:rFonts w:hint="eastAsia" w:ascii="仿宋" w:hAnsi="仿宋" w:eastAsia="仿宋" w:cs="仿宋"/>
        </w:rPr>
        <w:fldChar w:fldCharType="separate"/>
      </w:r>
      <w:r>
        <w:rPr>
          <w:rFonts w:hint="eastAsia" w:ascii="仿宋" w:hAnsi="仿宋" w:eastAsia="仿宋" w:cs="仿宋"/>
          <w:szCs w:val="28"/>
        </w:rPr>
        <w:t>1.1 核查目的</w:t>
      </w:r>
      <w:r>
        <w:tab/>
      </w:r>
      <w:r>
        <w:fldChar w:fldCharType="begin"/>
      </w:r>
      <w:r>
        <w:instrText xml:space="preserve"> PAGEREF _Toc11564 \h </w:instrText>
      </w:r>
      <w:r>
        <w:fldChar w:fldCharType="separate"/>
      </w:r>
      <w:r>
        <w:t>4</w:t>
      </w:r>
      <w:r>
        <w:fldChar w:fldCharType="end"/>
      </w:r>
      <w:r>
        <w:rPr>
          <w:rFonts w:hint="eastAsia" w:ascii="仿宋" w:hAnsi="仿宋" w:eastAsia="仿宋" w:cs="仿宋"/>
        </w:rPr>
        <w:fldChar w:fldCharType="end"/>
      </w:r>
    </w:p>
    <w:p w14:paraId="39254748">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_Toc15341 </w:instrText>
      </w:r>
      <w:r>
        <w:rPr>
          <w:rFonts w:hint="eastAsia" w:ascii="仿宋" w:hAnsi="仿宋" w:eastAsia="仿宋" w:cs="仿宋"/>
        </w:rPr>
        <w:fldChar w:fldCharType="separate"/>
      </w:r>
      <w:r>
        <w:rPr>
          <w:rFonts w:hint="eastAsia" w:ascii="仿宋" w:hAnsi="仿宋" w:eastAsia="仿宋" w:cs="仿宋"/>
          <w:szCs w:val="28"/>
        </w:rPr>
        <w:t>1.2 核查范围</w:t>
      </w:r>
      <w:r>
        <w:tab/>
      </w:r>
      <w:r>
        <w:fldChar w:fldCharType="begin"/>
      </w:r>
      <w:r>
        <w:instrText xml:space="preserve"> PAGEREF _Toc15341 \h </w:instrText>
      </w:r>
      <w:r>
        <w:fldChar w:fldCharType="separate"/>
      </w:r>
      <w:r>
        <w:t>4</w:t>
      </w:r>
      <w:r>
        <w:fldChar w:fldCharType="end"/>
      </w:r>
      <w:r>
        <w:rPr>
          <w:rFonts w:hint="eastAsia" w:ascii="仿宋" w:hAnsi="仿宋" w:eastAsia="仿宋" w:cs="仿宋"/>
        </w:rPr>
        <w:fldChar w:fldCharType="end"/>
      </w:r>
    </w:p>
    <w:p w14:paraId="3E0DC3B9">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_Toc1985 </w:instrText>
      </w:r>
      <w:r>
        <w:rPr>
          <w:rFonts w:hint="eastAsia" w:ascii="仿宋" w:hAnsi="仿宋" w:eastAsia="仿宋" w:cs="仿宋"/>
        </w:rPr>
        <w:fldChar w:fldCharType="separate"/>
      </w:r>
      <w:r>
        <w:rPr>
          <w:rFonts w:hint="eastAsia" w:ascii="仿宋" w:hAnsi="仿宋" w:eastAsia="仿宋" w:cs="仿宋"/>
          <w:szCs w:val="28"/>
        </w:rPr>
        <w:t>1.3 核查准则</w:t>
      </w:r>
      <w:r>
        <w:tab/>
      </w:r>
      <w:r>
        <w:fldChar w:fldCharType="begin"/>
      </w:r>
      <w:r>
        <w:instrText xml:space="preserve"> PAGEREF _Toc1985 \h </w:instrText>
      </w:r>
      <w:r>
        <w:fldChar w:fldCharType="separate"/>
      </w:r>
      <w:r>
        <w:t>5</w:t>
      </w:r>
      <w:r>
        <w:fldChar w:fldCharType="end"/>
      </w:r>
      <w:r>
        <w:rPr>
          <w:rFonts w:hint="eastAsia" w:ascii="仿宋" w:hAnsi="仿宋" w:eastAsia="仿宋" w:cs="仿宋"/>
        </w:rPr>
        <w:fldChar w:fldCharType="end"/>
      </w:r>
    </w:p>
    <w:p w14:paraId="5B7EE5D8">
      <w:pPr>
        <w:pStyle w:val="18"/>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_Toc19182 </w:instrText>
      </w:r>
      <w:r>
        <w:rPr>
          <w:rFonts w:hint="eastAsia" w:ascii="仿宋" w:hAnsi="仿宋" w:eastAsia="仿宋" w:cs="仿宋"/>
        </w:rPr>
        <w:fldChar w:fldCharType="separate"/>
      </w:r>
      <w:r>
        <w:rPr>
          <w:rFonts w:hint="eastAsia" w:ascii="仿宋" w:hAnsi="仿宋" w:eastAsia="仿宋" w:cs="仿宋"/>
          <w:szCs w:val="28"/>
        </w:rPr>
        <w:t>2 核查过程和方法</w:t>
      </w:r>
      <w:r>
        <w:tab/>
      </w:r>
      <w:r>
        <w:fldChar w:fldCharType="begin"/>
      </w:r>
      <w:r>
        <w:instrText xml:space="preserve"> PAGEREF _Toc19182 \h </w:instrText>
      </w:r>
      <w:r>
        <w:fldChar w:fldCharType="separate"/>
      </w:r>
      <w:r>
        <w:t>6</w:t>
      </w:r>
      <w:r>
        <w:fldChar w:fldCharType="end"/>
      </w:r>
      <w:r>
        <w:rPr>
          <w:rFonts w:hint="eastAsia" w:ascii="仿宋" w:hAnsi="仿宋" w:eastAsia="仿宋" w:cs="仿宋"/>
        </w:rPr>
        <w:fldChar w:fldCharType="end"/>
      </w:r>
    </w:p>
    <w:p w14:paraId="2228DD1B">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_Toc8342 </w:instrText>
      </w:r>
      <w:r>
        <w:rPr>
          <w:rFonts w:hint="eastAsia" w:ascii="仿宋" w:hAnsi="仿宋" w:eastAsia="仿宋" w:cs="仿宋"/>
        </w:rPr>
        <w:fldChar w:fldCharType="separate"/>
      </w:r>
      <w:r>
        <w:rPr>
          <w:rFonts w:hint="eastAsia" w:ascii="仿宋" w:hAnsi="仿宋" w:eastAsia="仿宋" w:cs="仿宋"/>
          <w:szCs w:val="28"/>
        </w:rPr>
        <w:t>2.1 核查组安排</w:t>
      </w:r>
      <w:r>
        <w:tab/>
      </w:r>
      <w:r>
        <w:fldChar w:fldCharType="begin"/>
      </w:r>
      <w:r>
        <w:instrText xml:space="preserve"> PAGEREF _Toc8342 \h </w:instrText>
      </w:r>
      <w:r>
        <w:fldChar w:fldCharType="separate"/>
      </w:r>
      <w:r>
        <w:t>6</w:t>
      </w:r>
      <w:r>
        <w:fldChar w:fldCharType="end"/>
      </w:r>
      <w:r>
        <w:rPr>
          <w:rFonts w:hint="eastAsia" w:ascii="仿宋" w:hAnsi="仿宋" w:eastAsia="仿宋" w:cs="仿宋"/>
        </w:rPr>
        <w:fldChar w:fldCharType="end"/>
      </w:r>
    </w:p>
    <w:p w14:paraId="21E1F26F">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_Toc18561 </w:instrText>
      </w:r>
      <w:r>
        <w:rPr>
          <w:rFonts w:hint="eastAsia" w:ascii="仿宋" w:hAnsi="仿宋" w:eastAsia="仿宋" w:cs="仿宋"/>
        </w:rPr>
        <w:fldChar w:fldCharType="separate"/>
      </w:r>
      <w:r>
        <w:rPr>
          <w:rFonts w:hint="eastAsia" w:ascii="仿宋" w:hAnsi="仿宋" w:eastAsia="仿宋" w:cs="仿宋"/>
          <w:szCs w:val="28"/>
        </w:rPr>
        <w:t>2.2 文件评审</w:t>
      </w:r>
      <w:r>
        <w:tab/>
      </w:r>
      <w:r>
        <w:fldChar w:fldCharType="begin"/>
      </w:r>
      <w:r>
        <w:instrText xml:space="preserve"> PAGEREF _Toc18561 \h </w:instrText>
      </w:r>
      <w:r>
        <w:fldChar w:fldCharType="separate"/>
      </w:r>
      <w:r>
        <w:t>6</w:t>
      </w:r>
      <w:r>
        <w:fldChar w:fldCharType="end"/>
      </w:r>
      <w:r>
        <w:rPr>
          <w:rFonts w:hint="eastAsia" w:ascii="仿宋" w:hAnsi="仿宋" w:eastAsia="仿宋" w:cs="仿宋"/>
        </w:rPr>
        <w:fldChar w:fldCharType="end"/>
      </w:r>
    </w:p>
    <w:p w14:paraId="6981B5D7">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_Toc710 </w:instrText>
      </w:r>
      <w:r>
        <w:rPr>
          <w:rFonts w:hint="eastAsia" w:ascii="仿宋" w:hAnsi="仿宋" w:eastAsia="仿宋" w:cs="仿宋"/>
        </w:rPr>
        <w:fldChar w:fldCharType="separate"/>
      </w:r>
      <w:r>
        <w:rPr>
          <w:rFonts w:hint="eastAsia" w:ascii="仿宋" w:hAnsi="仿宋" w:eastAsia="仿宋" w:cs="仿宋"/>
          <w:szCs w:val="28"/>
        </w:rPr>
        <w:t>2.3 现场核查</w:t>
      </w:r>
      <w:r>
        <w:tab/>
      </w:r>
      <w:r>
        <w:fldChar w:fldCharType="begin"/>
      </w:r>
      <w:r>
        <w:instrText xml:space="preserve"> PAGEREF _Toc710 \h </w:instrText>
      </w:r>
      <w:r>
        <w:fldChar w:fldCharType="separate"/>
      </w:r>
      <w:r>
        <w:t>7</w:t>
      </w:r>
      <w:r>
        <w:fldChar w:fldCharType="end"/>
      </w:r>
      <w:r>
        <w:rPr>
          <w:rFonts w:hint="eastAsia" w:ascii="仿宋" w:hAnsi="仿宋" w:eastAsia="仿宋" w:cs="仿宋"/>
        </w:rPr>
        <w:fldChar w:fldCharType="end"/>
      </w:r>
    </w:p>
    <w:p w14:paraId="0C986EF3">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_Toc30678 </w:instrText>
      </w:r>
      <w:r>
        <w:rPr>
          <w:rFonts w:hint="eastAsia" w:ascii="仿宋" w:hAnsi="仿宋" w:eastAsia="仿宋" w:cs="仿宋"/>
        </w:rPr>
        <w:fldChar w:fldCharType="separate"/>
      </w:r>
      <w:r>
        <w:rPr>
          <w:rFonts w:hint="eastAsia" w:ascii="仿宋" w:hAnsi="仿宋" w:eastAsia="仿宋" w:cs="仿宋"/>
          <w:szCs w:val="28"/>
        </w:rPr>
        <w:t>2.4 核查报告编写及内部技术复核</w:t>
      </w:r>
      <w:r>
        <w:tab/>
      </w:r>
      <w:r>
        <w:fldChar w:fldCharType="begin"/>
      </w:r>
      <w:r>
        <w:instrText xml:space="preserve"> PAGEREF _Toc30678 \h </w:instrText>
      </w:r>
      <w:r>
        <w:fldChar w:fldCharType="separate"/>
      </w:r>
      <w:r>
        <w:t>8</w:t>
      </w:r>
      <w:r>
        <w:fldChar w:fldCharType="end"/>
      </w:r>
      <w:r>
        <w:rPr>
          <w:rFonts w:hint="eastAsia" w:ascii="仿宋" w:hAnsi="仿宋" w:eastAsia="仿宋" w:cs="仿宋"/>
        </w:rPr>
        <w:fldChar w:fldCharType="end"/>
      </w:r>
    </w:p>
    <w:p w14:paraId="538BF697">
      <w:pPr>
        <w:pStyle w:val="18"/>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_Toc16186 </w:instrText>
      </w:r>
      <w:r>
        <w:rPr>
          <w:rFonts w:hint="eastAsia" w:ascii="仿宋" w:hAnsi="仿宋" w:eastAsia="仿宋" w:cs="仿宋"/>
        </w:rPr>
        <w:fldChar w:fldCharType="separate"/>
      </w:r>
      <w:r>
        <w:rPr>
          <w:rFonts w:hint="eastAsia" w:ascii="仿宋" w:hAnsi="仿宋" w:eastAsia="仿宋" w:cs="仿宋"/>
          <w:szCs w:val="28"/>
        </w:rPr>
        <w:t>3 核查发现</w:t>
      </w:r>
      <w:r>
        <w:tab/>
      </w:r>
      <w:r>
        <w:fldChar w:fldCharType="begin"/>
      </w:r>
      <w:r>
        <w:instrText xml:space="preserve"> PAGEREF _Toc16186 \h </w:instrText>
      </w:r>
      <w:r>
        <w:fldChar w:fldCharType="separate"/>
      </w:r>
      <w:r>
        <w:t>9</w:t>
      </w:r>
      <w:r>
        <w:fldChar w:fldCharType="end"/>
      </w:r>
      <w:r>
        <w:rPr>
          <w:rFonts w:hint="eastAsia" w:ascii="仿宋" w:hAnsi="仿宋" w:eastAsia="仿宋" w:cs="仿宋"/>
        </w:rPr>
        <w:fldChar w:fldCharType="end"/>
      </w:r>
    </w:p>
    <w:p w14:paraId="36C8BC79">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_Toc32452 </w:instrText>
      </w:r>
      <w:r>
        <w:rPr>
          <w:rFonts w:hint="eastAsia" w:ascii="仿宋" w:hAnsi="仿宋" w:eastAsia="仿宋" w:cs="仿宋"/>
        </w:rPr>
        <w:fldChar w:fldCharType="separate"/>
      </w:r>
      <w:r>
        <w:rPr>
          <w:rFonts w:hint="eastAsia" w:ascii="仿宋" w:hAnsi="仿宋" w:eastAsia="仿宋" w:cs="仿宋"/>
          <w:szCs w:val="28"/>
        </w:rPr>
        <w:t>3.1 基本情况的核查</w:t>
      </w:r>
      <w:r>
        <w:tab/>
      </w:r>
      <w:r>
        <w:fldChar w:fldCharType="begin"/>
      </w:r>
      <w:r>
        <w:instrText xml:space="preserve"> PAGEREF _Toc32452 \h </w:instrText>
      </w:r>
      <w:r>
        <w:fldChar w:fldCharType="separate"/>
      </w:r>
      <w:r>
        <w:t>9</w:t>
      </w:r>
      <w:r>
        <w:fldChar w:fldCharType="end"/>
      </w:r>
      <w:r>
        <w:rPr>
          <w:rFonts w:hint="eastAsia" w:ascii="仿宋" w:hAnsi="仿宋" w:eastAsia="仿宋" w:cs="仿宋"/>
        </w:rPr>
        <w:fldChar w:fldCharType="end"/>
      </w:r>
    </w:p>
    <w:p w14:paraId="36BE1096">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_Toc8886 </w:instrText>
      </w:r>
      <w:r>
        <w:rPr>
          <w:rFonts w:hint="eastAsia" w:ascii="仿宋" w:hAnsi="仿宋" w:eastAsia="仿宋" w:cs="仿宋"/>
        </w:rPr>
        <w:fldChar w:fldCharType="separate"/>
      </w:r>
      <w:r>
        <w:rPr>
          <w:rFonts w:hint="eastAsia" w:ascii="仿宋" w:hAnsi="仿宋" w:eastAsia="仿宋" w:cs="仿宋"/>
          <w:szCs w:val="28"/>
        </w:rPr>
        <w:t>3.1.1 受核查方简介和组织机构</w:t>
      </w:r>
      <w:r>
        <w:tab/>
      </w:r>
      <w:r>
        <w:fldChar w:fldCharType="begin"/>
      </w:r>
      <w:r>
        <w:instrText xml:space="preserve"> PAGEREF _Toc8886 \h </w:instrText>
      </w:r>
      <w:r>
        <w:fldChar w:fldCharType="separate"/>
      </w:r>
      <w:r>
        <w:t>9</w:t>
      </w:r>
      <w:r>
        <w:fldChar w:fldCharType="end"/>
      </w:r>
      <w:r>
        <w:rPr>
          <w:rFonts w:hint="eastAsia" w:ascii="仿宋" w:hAnsi="仿宋" w:eastAsia="仿宋" w:cs="仿宋"/>
        </w:rPr>
        <w:fldChar w:fldCharType="end"/>
      </w:r>
    </w:p>
    <w:p w14:paraId="039268B7">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_Toc25630 </w:instrText>
      </w:r>
      <w:r>
        <w:rPr>
          <w:rFonts w:hint="eastAsia" w:ascii="仿宋" w:hAnsi="仿宋" w:eastAsia="仿宋" w:cs="仿宋"/>
        </w:rPr>
        <w:fldChar w:fldCharType="separate"/>
      </w:r>
      <w:r>
        <w:rPr>
          <w:rFonts w:hint="eastAsia" w:ascii="仿宋" w:hAnsi="仿宋" w:eastAsia="仿宋" w:cs="仿宋"/>
          <w:szCs w:val="28"/>
        </w:rPr>
        <w:t>3.1.2 能源管理现状及监测设备管理情况</w:t>
      </w:r>
      <w:r>
        <w:tab/>
      </w:r>
      <w:r>
        <w:fldChar w:fldCharType="begin"/>
      </w:r>
      <w:r>
        <w:instrText xml:space="preserve"> PAGEREF _Toc25630 \h </w:instrText>
      </w:r>
      <w:r>
        <w:fldChar w:fldCharType="separate"/>
      </w:r>
      <w:r>
        <w:t>10</w:t>
      </w:r>
      <w:r>
        <w:fldChar w:fldCharType="end"/>
      </w:r>
      <w:r>
        <w:rPr>
          <w:rFonts w:hint="eastAsia" w:ascii="仿宋" w:hAnsi="仿宋" w:eastAsia="仿宋" w:cs="仿宋"/>
        </w:rPr>
        <w:fldChar w:fldCharType="end"/>
      </w:r>
    </w:p>
    <w:p w14:paraId="17E28D9F">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_Toc22875 </w:instrText>
      </w:r>
      <w:r>
        <w:rPr>
          <w:rFonts w:hint="eastAsia" w:ascii="仿宋" w:hAnsi="仿宋" w:eastAsia="仿宋" w:cs="仿宋"/>
        </w:rPr>
        <w:fldChar w:fldCharType="separate"/>
      </w:r>
      <w:r>
        <w:rPr>
          <w:rFonts w:hint="eastAsia" w:ascii="仿宋" w:hAnsi="仿宋" w:eastAsia="仿宋" w:cs="仿宋"/>
          <w:szCs w:val="28"/>
        </w:rPr>
        <w:t>3.1.3 受核查方工艺流程及产品</w:t>
      </w:r>
      <w:r>
        <w:tab/>
      </w:r>
      <w:r>
        <w:fldChar w:fldCharType="begin"/>
      </w:r>
      <w:r>
        <w:instrText xml:space="preserve"> PAGEREF _Toc22875 \h </w:instrText>
      </w:r>
      <w:r>
        <w:fldChar w:fldCharType="separate"/>
      </w:r>
      <w:r>
        <w:t>12</w:t>
      </w:r>
      <w:r>
        <w:fldChar w:fldCharType="end"/>
      </w:r>
      <w:r>
        <w:rPr>
          <w:rFonts w:hint="eastAsia" w:ascii="仿宋" w:hAnsi="仿宋" w:eastAsia="仿宋" w:cs="仿宋"/>
        </w:rPr>
        <w:fldChar w:fldCharType="end"/>
      </w:r>
    </w:p>
    <w:p w14:paraId="60D2F88C">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_Toc18871 </w:instrText>
      </w:r>
      <w:r>
        <w:rPr>
          <w:rFonts w:hint="eastAsia" w:ascii="仿宋" w:hAnsi="仿宋" w:eastAsia="仿宋" w:cs="仿宋"/>
        </w:rPr>
        <w:fldChar w:fldCharType="separate"/>
      </w:r>
      <w:r>
        <w:rPr>
          <w:rFonts w:hint="eastAsia" w:ascii="仿宋" w:hAnsi="仿宋" w:eastAsia="仿宋" w:cs="仿宋"/>
          <w:szCs w:val="28"/>
        </w:rPr>
        <w:t>3.2 核算边界的核查</w:t>
      </w:r>
      <w:r>
        <w:tab/>
      </w:r>
      <w:r>
        <w:fldChar w:fldCharType="begin"/>
      </w:r>
      <w:r>
        <w:instrText xml:space="preserve"> PAGEREF _Toc18871 \h </w:instrText>
      </w:r>
      <w:r>
        <w:fldChar w:fldCharType="separate"/>
      </w:r>
      <w:r>
        <w:t>12</w:t>
      </w:r>
      <w:r>
        <w:fldChar w:fldCharType="end"/>
      </w:r>
      <w:r>
        <w:rPr>
          <w:rFonts w:hint="eastAsia" w:ascii="仿宋" w:hAnsi="仿宋" w:eastAsia="仿宋" w:cs="仿宋"/>
        </w:rPr>
        <w:fldChar w:fldCharType="end"/>
      </w:r>
    </w:p>
    <w:p w14:paraId="1CB8F101">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_Toc21276 </w:instrText>
      </w:r>
      <w:r>
        <w:rPr>
          <w:rFonts w:hint="eastAsia" w:ascii="仿宋" w:hAnsi="仿宋" w:eastAsia="仿宋" w:cs="仿宋"/>
        </w:rPr>
        <w:fldChar w:fldCharType="separate"/>
      </w:r>
      <w:r>
        <w:rPr>
          <w:rFonts w:hint="eastAsia" w:ascii="仿宋" w:hAnsi="仿宋" w:eastAsia="仿宋" w:cs="仿宋"/>
          <w:szCs w:val="28"/>
        </w:rPr>
        <w:t>3.3 核算方法的核查</w:t>
      </w:r>
      <w:r>
        <w:tab/>
      </w:r>
      <w:r>
        <w:fldChar w:fldCharType="begin"/>
      </w:r>
      <w:r>
        <w:instrText xml:space="preserve"> PAGEREF _Toc21276 \h </w:instrText>
      </w:r>
      <w:r>
        <w:fldChar w:fldCharType="separate"/>
      </w:r>
      <w:r>
        <w:t>13</w:t>
      </w:r>
      <w:r>
        <w:fldChar w:fldCharType="end"/>
      </w:r>
      <w:r>
        <w:rPr>
          <w:rFonts w:hint="eastAsia" w:ascii="仿宋" w:hAnsi="仿宋" w:eastAsia="仿宋" w:cs="仿宋"/>
        </w:rPr>
        <w:fldChar w:fldCharType="end"/>
      </w:r>
    </w:p>
    <w:p w14:paraId="46FFBB29">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_Toc1911 </w:instrText>
      </w:r>
      <w:r>
        <w:rPr>
          <w:rFonts w:hint="eastAsia" w:ascii="仿宋" w:hAnsi="仿宋" w:eastAsia="仿宋" w:cs="仿宋"/>
        </w:rPr>
        <w:fldChar w:fldCharType="separate"/>
      </w:r>
      <w:r>
        <w:rPr>
          <w:rFonts w:hint="eastAsia" w:ascii="仿宋" w:hAnsi="仿宋" w:eastAsia="仿宋" w:cs="仿宋"/>
          <w:szCs w:val="28"/>
        </w:rPr>
        <w:t>3.3.1 化石燃料燃烧排放</w:t>
      </w:r>
      <w:r>
        <w:tab/>
      </w:r>
      <w:r>
        <w:fldChar w:fldCharType="begin"/>
      </w:r>
      <w:r>
        <w:instrText xml:space="preserve"> PAGEREF _Toc1911 \h </w:instrText>
      </w:r>
      <w:r>
        <w:fldChar w:fldCharType="separate"/>
      </w:r>
      <w:r>
        <w:t>14</w:t>
      </w:r>
      <w:r>
        <w:fldChar w:fldCharType="end"/>
      </w:r>
      <w:r>
        <w:rPr>
          <w:rFonts w:hint="eastAsia" w:ascii="仿宋" w:hAnsi="仿宋" w:eastAsia="仿宋" w:cs="仿宋"/>
        </w:rPr>
        <w:fldChar w:fldCharType="end"/>
      </w:r>
    </w:p>
    <w:p w14:paraId="1053919C">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_Toc6391 </w:instrText>
      </w:r>
      <w:r>
        <w:rPr>
          <w:rFonts w:hint="eastAsia" w:ascii="仿宋" w:hAnsi="仿宋" w:eastAsia="仿宋" w:cs="仿宋"/>
        </w:rPr>
        <w:fldChar w:fldCharType="separate"/>
      </w:r>
      <w:r>
        <w:rPr>
          <w:rFonts w:hint="eastAsia" w:ascii="仿宋" w:hAnsi="仿宋" w:eastAsia="仿宋" w:cs="仿宋"/>
          <w:szCs w:val="28"/>
        </w:rPr>
        <w:t>3.3.2 碳酸盐使用过程CO</w:t>
      </w:r>
      <w:r>
        <w:rPr>
          <w:rFonts w:hint="eastAsia" w:ascii="仿宋" w:hAnsi="仿宋" w:eastAsia="仿宋" w:cs="仿宋"/>
          <w:szCs w:val="28"/>
          <w:vertAlign w:val="subscript"/>
        </w:rPr>
        <w:t>2</w:t>
      </w:r>
      <w:r>
        <w:rPr>
          <w:rFonts w:hint="eastAsia" w:ascii="仿宋" w:hAnsi="仿宋" w:eastAsia="仿宋" w:cs="仿宋"/>
          <w:szCs w:val="28"/>
        </w:rPr>
        <w:t>排放</w:t>
      </w:r>
      <w:r>
        <w:tab/>
      </w:r>
      <w:r>
        <w:fldChar w:fldCharType="begin"/>
      </w:r>
      <w:r>
        <w:instrText xml:space="preserve"> PAGEREF _Toc6391 \h </w:instrText>
      </w:r>
      <w:r>
        <w:fldChar w:fldCharType="separate"/>
      </w:r>
      <w:r>
        <w:t>14</w:t>
      </w:r>
      <w:r>
        <w:fldChar w:fldCharType="end"/>
      </w:r>
      <w:r>
        <w:rPr>
          <w:rFonts w:hint="eastAsia" w:ascii="仿宋" w:hAnsi="仿宋" w:eastAsia="仿宋" w:cs="仿宋"/>
        </w:rPr>
        <w:fldChar w:fldCharType="end"/>
      </w:r>
    </w:p>
    <w:p w14:paraId="5C2EDE19">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_Toc14386 </w:instrText>
      </w:r>
      <w:r>
        <w:rPr>
          <w:rFonts w:hint="eastAsia" w:ascii="仿宋" w:hAnsi="仿宋" w:eastAsia="仿宋" w:cs="仿宋"/>
        </w:rPr>
        <w:fldChar w:fldCharType="separate"/>
      </w:r>
      <w:r>
        <w:rPr>
          <w:rFonts w:hint="eastAsia" w:ascii="仿宋" w:hAnsi="仿宋" w:eastAsia="仿宋" w:cs="仿宋"/>
          <w:szCs w:val="28"/>
        </w:rPr>
        <w:t>3.3.3 工业废水厌氧处理CH</w:t>
      </w:r>
      <w:r>
        <w:rPr>
          <w:rFonts w:hint="eastAsia" w:ascii="仿宋" w:hAnsi="仿宋" w:eastAsia="仿宋" w:cs="仿宋"/>
          <w:szCs w:val="28"/>
          <w:vertAlign w:val="subscript"/>
        </w:rPr>
        <w:t>4</w:t>
      </w:r>
      <w:r>
        <w:rPr>
          <w:rFonts w:hint="eastAsia" w:ascii="仿宋" w:hAnsi="仿宋" w:eastAsia="仿宋" w:cs="仿宋"/>
          <w:szCs w:val="28"/>
        </w:rPr>
        <w:t>排放</w:t>
      </w:r>
      <w:r>
        <w:tab/>
      </w:r>
      <w:r>
        <w:fldChar w:fldCharType="begin"/>
      </w:r>
      <w:r>
        <w:instrText xml:space="preserve"> PAGEREF _Toc14386 \h </w:instrText>
      </w:r>
      <w:r>
        <w:fldChar w:fldCharType="separate"/>
      </w:r>
      <w:r>
        <w:t>15</w:t>
      </w:r>
      <w:r>
        <w:fldChar w:fldCharType="end"/>
      </w:r>
      <w:r>
        <w:rPr>
          <w:rFonts w:hint="eastAsia" w:ascii="仿宋" w:hAnsi="仿宋" w:eastAsia="仿宋" w:cs="仿宋"/>
        </w:rPr>
        <w:fldChar w:fldCharType="end"/>
      </w:r>
    </w:p>
    <w:p w14:paraId="156936AD">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_Toc251 </w:instrText>
      </w:r>
      <w:r>
        <w:rPr>
          <w:rFonts w:hint="eastAsia" w:ascii="仿宋" w:hAnsi="仿宋" w:eastAsia="仿宋" w:cs="仿宋"/>
        </w:rPr>
        <w:fldChar w:fldCharType="separate"/>
      </w:r>
      <w:r>
        <w:rPr>
          <w:rFonts w:hint="eastAsia" w:ascii="仿宋" w:hAnsi="仿宋" w:eastAsia="仿宋" w:cs="仿宋"/>
          <w:szCs w:val="28"/>
        </w:rPr>
        <w:t>3.3.4 CO</w:t>
      </w:r>
      <w:r>
        <w:rPr>
          <w:rFonts w:hint="eastAsia" w:ascii="仿宋" w:hAnsi="仿宋" w:eastAsia="仿宋" w:cs="仿宋"/>
          <w:szCs w:val="28"/>
          <w:vertAlign w:val="subscript"/>
        </w:rPr>
        <w:t>2</w:t>
      </w:r>
      <w:r>
        <w:rPr>
          <w:rFonts w:hint="eastAsia" w:ascii="仿宋" w:hAnsi="仿宋" w:eastAsia="仿宋" w:cs="仿宋"/>
          <w:szCs w:val="28"/>
        </w:rPr>
        <w:t>回收利用量</w:t>
      </w:r>
      <w:r>
        <w:tab/>
      </w:r>
      <w:r>
        <w:fldChar w:fldCharType="begin"/>
      </w:r>
      <w:r>
        <w:instrText xml:space="preserve"> PAGEREF _Toc251 \h </w:instrText>
      </w:r>
      <w:r>
        <w:fldChar w:fldCharType="separate"/>
      </w:r>
      <w:r>
        <w:t>16</w:t>
      </w:r>
      <w:r>
        <w:fldChar w:fldCharType="end"/>
      </w:r>
      <w:r>
        <w:rPr>
          <w:rFonts w:hint="eastAsia" w:ascii="仿宋" w:hAnsi="仿宋" w:eastAsia="仿宋" w:cs="仿宋"/>
        </w:rPr>
        <w:fldChar w:fldCharType="end"/>
      </w:r>
    </w:p>
    <w:p w14:paraId="6620CC95">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_Toc3618 </w:instrText>
      </w:r>
      <w:r>
        <w:rPr>
          <w:rFonts w:hint="eastAsia" w:ascii="仿宋" w:hAnsi="仿宋" w:eastAsia="仿宋" w:cs="仿宋"/>
        </w:rPr>
        <w:fldChar w:fldCharType="separate"/>
      </w:r>
      <w:r>
        <w:rPr>
          <w:rFonts w:hint="eastAsia" w:ascii="仿宋" w:hAnsi="仿宋" w:eastAsia="仿宋" w:cs="仿宋"/>
          <w:szCs w:val="28"/>
        </w:rPr>
        <w:t>3.3.5 净购入使用电力和热力产生的排放</w:t>
      </w:r>
      <w:r>
        <w:tab/>
      </w:r>
      <w:r>
        <w:fldChar w:fldCharType="begin"/>
      </w:r>
      <w:r>
        <w:instrText xml:space="preserve"> PAGEREF _Toc3618 \h </w:instrText>
      </w:r>
      <w:r>
        <w:fldChar w:fldCharType="separate"/>
      </w:r>
      <w:r>
        <w:t>17</w:t>
      </w:r>
      <w:r>
        <w:fldChar w:fldCharType="end"/>
      </w:r>
      <w:r>
        <w:rPr>
          <w:rFonts w:hint="eastAsia" w:ascii="仿宋" w:hAnsi="仿宋" w:eastAsia="仿宋" w:cs="仿宋"/>
        </w:rPr>
        <w:fldChar w:fldCharType="end"/>
      </w:r>
    </w:p>
    <w:p w14:paraId="7598AA56">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_Toc24407 </w:instrText>
      </w:r>
      <w:r>
        <w:rPr>
          <w:rFonts w:hint="eastAsia" w:ascii="仿宋" w:hAnsi="仿宋" w:eastAsia="仿宋" w:cs="仿宋"/>
        </w:rPr>
        <w:fldChar w:fldCharType="separate"/>
      </w:r>
      <w:r>
        <w:rPr>
          <w:rFonts w:hint="eastAsia" w:ascii="仿宋" w:hAnsi="仿宋" w:eastAsia="仿宋" w:cs="仿宋"/>
          <w:szCs w:val="28"/>
        </w:rPr>
        <w:t>3.4 核算数据的核查</w:t>
      </w:r>
      <w:r>
        <w:tab/>
      </w:r>
      <w:r>
        <w:fldChar w:fldCharType="begin"/>
      </w:r>
      <w:r>
        <w:instrText xml:space="preserve"> PAGEREF _Toc24407 \h </w:instrText>
      </w:r>
      <w:r>
        <w:fldChar w:fldCharType="separate"/>
      </w:r>
      <w:r>
        <w:t>17</w:t>
      </w:r>
      <w:r>
        <w:fldChar w:fldCharType="end"/>
      </w:r>
      <w:r>
        <w:rPr>
          <w:rFonts w:hint="eastAsia" w:ascii="仿宋" w:hAnsi="仿宋" w:eastAsia="仿宋" w:cs="仿宋"/>
        </w:rPr>
        <w:fldChar w:fldCharType="end"/>
      </w:r>
    </w:p>
    <w:p w14:paraId="2D46D375">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_Toc13355 </w:instrText>
      </w:r>
      <w:r>
        <w:rPr>
          <w:rFonts w:hint="eastAsia" w:ascii="仿宋" w:hAnsi="仿宋" w:eastAsia="仿宋" w:cs="仿宋"/>
        </w:rPr>
        <w:fldChar w:fldCharType="separate"/>
      </w:r>
      <w:r>
        <w:rPr>
          <w:rFonts w:hint="eastAsia" w:ascii="仿宋" w:hAnsi="仿宋" w:eastAsia="仿宋" w:cs="仿宋"/>
          <w:szCs w:val="28"/>
        </w:rPr>
        <w:t>3.4.1 活动水平数据及来源的核查</w:t>
      </w:r>
      <w:r>
        <w:tab/>
      </w:r>
      <w:r>
        <w:fldChar w:fldCharType="begin"/>
      </w:r>
      <w:r>
        <w:instrText xml:space="preserve"> PAGEREF _Toc13355 \h </w:instrText>
      </w:r>
      <w:r>
        <w:fldChar w:fldCharType="separate"/>
      </w:r>
      <w:r>
        <w:t>17</w:t>
      </w:r>
      <w:r>
        <w:fldChar w:fldCharType="end"/>
      </w:r>
      <w:r>
        <w:rPr>
          <w:rFonts w:hint="eastAsia" w:ascii="仿宋" w:hAnsi="仿宋" w:eastAsia="仿宋" w:cs="仿宋"/>
        </w:rPr>
        <w:fldChar w:fldCharType="end"/>
      </w:r>
    </w:p>
    <w:p w14:paraId="63DC061D">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_Toc1287 </w:instrText>
      </w:r>
      <w:r>
        <w:rPr>
          <w:rFonts w:hint="eastAsia" w:ascii="仿宋" w:hAnsi="仿宋" w:eastAsia="仿宋" w:cs="仿宋"/>
        </w:rPr>
        <w:fldChar w:fldCharType="separate"/>
      </w:r>
      <w:r>
        <w:rPr>
          <w:rFonts w:hint="eastAsia" w:ascii="仿宋" w:hAnsi="仿宋" w:eastAsia="仿宋" w:cs="仿宋"/>
          <w:szCs w:val="28"/>
        </w:rPr>
        <w:t>3.4.2 排放因子和计算系数数据及来源的核查</w:t>
      </w:r>
      <w:r>
        <w:tab/>
      </w:r>
      <w:r>
        <w:fldChar w:fldCharType="begin"/>
      </w:r>
      <w:r>
        <w:instrText xml:space="preserve"> PAGEREF _Toc1287 \h </w:instrText>
      </w:r>
      <w:r>
        <w:fldChar w:fldCharType="separate"/>
      </w:r>
      <w:r>
        <w:t>19</w:t>
      </w:r>
      <w:r>
        <w:fldChar w:fldCharType="end"/>
      </w:r>
      <w:r>
        <w:rPr>
          <w:rFonts w:hint="eastAsia" w:ascii="仿宋" w:hAnsi="仿宋" w:eastAsia="仿宋" w:cs="仿宋"/>
        </w:rPr>
        <w:fldChar w:fldCharType="end"/>
      </w:r>
    </w:p>
    <w:p w14:paraId="20414D21">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_Toc27224 </w:instrText>
      </w:r>
      <w:r>
        <w:rPr>
          <w:rFonts w:hint="eastAsia" w:ascii="仿宋" w:hAnsi="仿宋" w:eastAsia="仿宋" w:cs="仿宋"/>
        </w:rPr>
        <w:fldChar w:fldCharType="separate"/>
      </w:r>
      <w:r>
        <w:rPr>
          <w:rFonts w:hint="eastAsia" w:ascii="仿宋" w:hAnsi="仿宋" w:eastAsia="仿宋" w:cs="仿宋"/>
          <w:szCs w:val="28"/>
        </w:rPr>
        <w:t>3.4.3 法人边界排放量的核查</w:t>
      </w:r>
      <w:r>
        <w:tab/>
      </w:r>
      <w:r>
        <w:fldChar w:fldCharType="begin"/>
      </w:r>
      <w:r>
        <w:instrText xml:space="preserve"> PAGEREF _Toc27224 \h </w:instrText>
      </w:r>
      <w:r>
        <w:fldChar w:fldCharType="separate"/>
      </w:r>
      <w:r>
        <w:t>20</w:t>
      </w:r>
      <w:r>
        <w:fldChar w:fldCharType="end"/>
      </w:r>
      <w:r>
        <w:rPr>
          <w:rFonts w:hint="eastAsia" w:ascii="仿宋" w:hAnsi="仿宋" w:eastAsia="仿宋" w:cs="仿宋"/>
        </w:rPr>
        <w:fldChar w:fldCharType="end"/>
      </w:r>
    </w:p>
    <w:p w14:paraId="5D094ECD">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_Toc8420 </w:instrText>
      </w:r>
      <w:r>
        <w:rPr>
          <w:rFonts w:hint="eastAsia" w:ascii="仿宋" w:hAnsi="仿宋" w:eastAsia="仿宋" w:cs="仿宋"/>
        </w:rPr>
        <w:fldChar w:fldCharType="separate"/>
      </w:r>
      <w:r>
        <w:rPr>
          <w:rFonts w:hint="eastAsia" w:ascii="仿宋" w:hAnsi="仿宋" w:eastAsia="仿宋" w:cs="仿宋"/>
          <w:szCs w:val="28"/>
        </w:rPr>
        <w:t>3.4.4 配额分配相关补充数据的核查</w:t>
      </w:r>
      <w:r>
        <w:tab/>
      </w:r>
      <w:r>
        <w:fldChar w:fldCharType="begin"/>
      </w:r>
      <w:r>
        <w:instrText xml:space="preserve"> PAGEREF _Toc8420 \h </w:instrText>
      </w:r>
      <w:r>
        <w:fldChar w:fldCharType="separate"/>
      </w:r>
      <w:r>
        <w:t>20</w:t>
      </w:r>
      <w:r>
        <w:fldChar w:fldCharType="end"/>
      </w:r>
      <w:r>
        <w:rPr>
          <w:rFonts w:hint="eastAsia" w:ascii="仿宋" w:hAnsi="仿宋" w:eastAsia="仿宋" w:cs="仿宋"/>
        </w:rPr>
        <w:fldChar w:fldCharType="end"/>
      </w:r>
    </w:p>
    <w:p w14:paraId="4643C170">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_Toc16181 </w:instrText>
      </w:r>
      <w:r>
        <w:rPr>
          <w:rFonts w:hint="eastAsia" w:ascii="仿宋" w:hAnsi="仿宋" w:eastAsia="仿宋" w:cs="仿宋"/>
        </w:rPr>
        <w:fldChar w:fldCharType="separate"/>
      </w:r>
      <w:r>
        <w:rPr>
          <w:rFonts w:hint="eastAsia" w:ascii="仿宋" w:hAnsi="仿宋" w:eastAsia="仿宋" w:cs="仿宋"/>
          <w:szCs w:val="28"/>
        </w:rPr>
        <w:t>3.5 质量保证和文件存档的核查</w:t>
      </w:r>
      <w:r>
        <w:tab/>
      </w:r>
      <w:r>
        <w:fldChar w:fldCharType="begin"/>
      </w:r>
      <w:r>
        <w:instrText xml:space="preserve"> PAGEREF _Toc16181 \h </w:instrText>
      </w:r>
      <w:r>
        <w:fldChar w:fldCharType="separate"/>
      </w:r>
      <w:r>
        <w:t>26</w:t>
      </w:r>
      <w:r>
        <w:fldChar w:fldCharType="end"/>
      </w:r>
      <w:r>
        <w:rPr>
          <w:rFonts w:hint="eastAsia" w:ascii="仿宋" w:hAnsi="仿宋" w:eastAsia="仿宋" w:cs="仿宋"/>
        </w:rPr>
        <w:fldChar w:fldCharType="end"/>
      </w:r>
    </w:p>
    <w:p w14:paraId="12DFD0E6">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_Toc32277 </w:instrText>
      </w:r>
      <w:r>
        <w:rPr>
          <w:rFonts w:hint="eastAsia" w:ascii="仿宋" w:hAnsi="仿宋" w:eastAsia="仿宋" w:cs="仿宋"/>
        </w:rPr>
        <w:fldChar w:fldCharType="separate"/>
      </w:r>
      <w:r>
        <w:rPr>
          <w:rFonts w:hint="eastAsia" w:ascii="仿宋" w:hAnsi="仿宋" w:eastAsia="仿宋" w:cs="仿宋"/>
          <w:szCs w:val="28"/>
        </w:rPr>
        <w:t>3.6 其他核查发现</w:t>
      </w:r>
      <w:r>
        <w:tab/>
      </w:r>
      <w:r>
        <w:fldChar w:fldCharType="begin"/>
      </w:r>
      <w:r>
        <w:instrText xml:space="preserve"> PAGEREF _Toc32277 \h </w:instrText>
      </w:r>
      <w:r>
        <w:fldChar w:fldCharType="separate"/>
      </w:r>
      <w:r>
        <w:t>26</w:t>
      </w:r>
      <w:r>
        <w:fldChar w:fldCharType="end"/>
      </w:r>
      <w:r>
        <w:rPr>
          <w:rFonts w:hint="eastAsia" w:ascii="仿宋" w:hAnsi="仿宋" w:eastAsia="仿宋" w:cs="仿宋"/>
        </w:rPr>
        <w:fldChar w:fldCharType="end"/>
      </w:r>
    </w:p>
    <w:p w14:paraId="6FD58ED5">
      <w:pPr>
        <w:pStyle w:val="18"/>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_Toc5354 </w:instrText>
      </w:r>
      <w:r>
        <w:rPr>
          <w:rFonts w:hint="eastAsia" w:ascii="仿宋" w:hAnsi="仿宋" w:eastAsia="仿宋" w:cs="仿宋"/>
        </w:rPr>
        <w:fldChar w:fldCharType="separate"/>
      </w:r>
      <w:r>
        <w:rPr>
          <w:rFonts w:hint="eastAsia" w:ascii="仿宋" w:hAnsi="仿宋" w:eastAsia="仿宋" w:cs="仿宋"/>
        </w:rPr>
        <w:t>4 核查结论</w:t>
      </w:r>
      <w:r>
        <w:tab/>
      </w:r>
      <w:r>
        <w:fldChar w:fldCharType="begin"/>
      </w:r>
      <w:r>
        <w:instrText xml:space="preserve"> PAGEREF _Toc5354 \h </w:instrText>
      </w:r>
      <w:r>
        <w:fldChar w:fldCharType="separate"/>
      </w:r>
      <w:r>
        <w:t>26</w:t>
      </w:r>
      <w:r>
        <w:fldChar w:fldCharType="end"/>
      </w:r>
      <w:r>
        <w:rPr>
          <w:rFonts w:hint="eastAsia" w:ascii="仿宋" w:hAnsi="仿宋" w:eastAsia="仿宋" w:cs="仿宋"/>
        </w:rPr>
        <w:fldChar w:fldCharType="end"/>
      </w:r>
    </w:p>
    <w:p w14:paraId="7C2DC01A">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_Toc13116 </w:instrText>
      </w:r>
      <w:r>
        <w:rPr>
          <w:rFonts w:hint="eastAsia" w:ascii="仿宋" w:hAnsi="仿宋" w:eastAsia="仿宋" w:cs="仿宋"/>
        </w:rPr>
        <w:fldChar w:fldCharType="separate"/>
      </w:r>
      <w:r>
        <w:rPr>
          <w:rFonts w:hint="eastAsia" w:ascii="仿宋" w:hAnsi="仿宋" w:eastAsia="仿宋" w:cs="仿宋"/>
          <w:szCs w:val="28"/>
        </w:rPr>
        <w:t>4.1 报告与核算指南的符合性</w:t>
      </w:r>
      <w:r>
        <w:tab/>
      </w:r>
      <w:r>
        <w:fldChar w:fldCharType="begin"/>
      </w:r>
      <w:r>
        <w:instrText xml:space="preserve"> PAGEREF _Toc13116 \h </w:instrText>
      </w:r>
      <w:r>
        <w:fldChar w:fldCharType="separate"/>
      </w:r>
      <w:r>
        <w:t>26</w:t>
      </w:r>
      <w:r>
        <w:fldChar w:fldCharType="end"/>
      </w:r>
      <w:r>
        <w:rPr>
          <w:rFonts w:hint="eastAsia" w:ascii="仿宋" w:hAnsi="仿宋" w:eastAsia="仿宋" w:cs="仿宋"/>
        </w:rPr>
        <w:fldChar w:fldCharType="end"/>
      </w:r>
    </w:p>
    <w:p w14:paraId="743FF6E0">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_Toc22599 </w:instrText>
      </w:r>
      <w:r>
        <w:rPr>
          <w:rFonts w:hint="eastAsia" w:ascii="仿宋" w:hAnsi="仿宋" w:eastAsia="仿宋" w:cs="仿宋"/>
        </w:rPr>
        <w:fldChar w:fldCharType="separate"/>
      </w:r>
      <w:r>
        <w:rPr>
          <w:rFonts w:hint="eastAsia" w:ascii="仿宋" w:hAnsi="仿宋" w:eastAsia="仿宋" w:cs="仿宋"/>
          <w:szCs w:val="28"/>
        </w:rPr>
        <w:t>4.2 排放量声明</w:t>
      </w:r>
      <w:r>
        <w:tab/>
      </w:r>
      <w:r>
        <w:fldChar w:fldCharType="begin"/>
      </w:r>
      <w:r>
        <w:instrText xml:space="preserve"> PAGEREF _Toc22599 \h </w:instrText>
      </w:r>
      <w:r>
        <w:fldChar w:fldCharType="separate"/>
      </w:r>
      <w:r>
        <w:t>26</w:t>
      </w:r>
      <w:r>
        <w:fldChar w:fldCharType="end"/>
      </w:r>
      <w:r>
        <w:rPr>
          <w:rFonts w:hint="eastAsia" w:ascii="仿宋" w:hAnsi="仿宋" w:eastAsia="仿宋" w:cs="仿宋"/>
        </w:rPr>
        <w:fldChar w:fldCharType="end"/>
      </w:r>
    </w:p>
    <w:p w14:paraId="08AD1DF7">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_Toc12241 </w:instrText>
      </w:r>
      <w:r>
        <w:rPr>
          <w:rFonts w:hint="eastAsia" w:ascii="仿宋" w:hAnsi="仿宋" w:eastAsia="仿宋" w:cs="仿宋"/>
        </w:rPr>
        <w:fldChar w:fldCharType="separate"/>
      </w:r>
      <w:r>
        <w:rPr>
          <w:rFonts w:hint="eastAsia" w:ascii="仿宋" w:hAnsi="仿宋" w:eastAsia="仿宋" w:cs="仿宋"/>
          <w:szCs w:val="28"/>
        </w:rPr>
        <w:t>4.2.1 企业法人边界的排放量声明</w:t>
      </w:r>
      <w:r>
        <w:tab/>
      </w:r>
      <w:r>
        <w:fldChar w:fldCharType="begin"/>
      </w:r>
      <w:r>
        <w:instrText xml:space="preserve"> PAGEREF _Toc12241 \h </w:instrText>
      </w:r>
      <w:r>
        <w:fldChar w:fldCharType="separate"/>
      </w:r>
      <w:r>
        <w:t>26</w:t>
      </w:r>
      <w:r>
        <w:fldChar w:fldCharType="end"/>
      </w:r>
      <w:r>
        <w:rPr>
          <w:rFonts w:hint="eastAsia" w:ascii="仿宋" w:hAnsi="仿宋" w:eastAsia="仿宋" w:cs="仿宋"/>
        </w:rPr>
        <w:fldChar w:fldCharType="end"/>
      </w:r>
    </w:p>
    <w:p w14:paraId="2C68A282">
      <w:pPr>
        <w:pStyle w:val="13"/>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_Toc16677 </w:instrText>
      </w:r>
      <w:r>
        <w:rPr>
          <w:rFonts w:hint="eastAsia" w:ascii="仿宋" w:hAnsi="仿宋" w:eastAsia="仿宋" w:cs="仿宋"/>
        </w:rPr>
        <w:fldChar w:fldCharType="separate"/>
      </w:r>
      <w:r>
        <w:rPr>
          <w:rFonts w:hint="eastAsia" w:ascii="仿宋" w:hAnsi="仿宋" w:eastAsia="仿宋" w:cs="仿宋"/>
          <w:szCs w:val="28"/>
        </w:rPr>
        <w:t>4.2.2 补充数据表填报的二氧化碳排放量声明</w:t>
      </w:r>
      <w:r>
        <w:tab/>
      </w:r>
      <w:r>
        <w:fldChar w:fldCharType="begin"/>
      </w:r>
      <w:r>
        <w:instrText xml:space="preserve"> PAGEREF _Toc16677 \h </w:instrText>
      </w:r>
      <w:r>
        <w:fldChar w:fldCharType="separate"/>
      </w:r>
      <w:r>
        <w:t>27</w:t>
      </w:r>
      <w:r>
        <w:fldChar w:fldCharType="end"/>
      </w:r>
      <w:r>
        <w:rPr>
          <w:rFonts w:hint="eastAsia" w:ascii="仿宋" w:hAnsi="仿宋" w:eastAsia="仿宋" w:cs="仿宋"/>
        </w:rPr>
        <w:fldChar w:fldCharType="end"/>
      </w:r>
    </w:p>
    <w:p w14:paraId="743A9126">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_Toc16773 </w:instrText>
      </w:r>
      <w:r>
        <w:rPr>
          <w:rFonts w:hint="eastAsia" w:ascii="仿宋" w:hAnsi="仿宋" w:eastAsia="仿宋" w:cs="仿宋"/>
        </w:rPr>
        <w:fldChar w:fldCharType="separate"/>
      </w:r>
      <w:r>
        <w:rPr>
          <w:rFonts w:hint="eastAsia" w:ascii="仿宋" w:hAnsi="仿宋" w:eastAsia="仿宋" w:cs="仿宋"/>
          <w:szCs w:val="28"/>
        </w:rPr>
        <w:t>4.3 排放量存在异常波动的原因说明</w:t>
      </w:r>
      <w:r>
        <w:tab/>
      </w:r>
      <w:r>
        <w:fldChar w:fldCharType="begin"/>
      </w:r>
      <w:r>
        <w:instrText xml:space="preserve"> PAGEREF _Toc16773 \h </w:instrText>
      </w:r>
      <w:r>
        <w:fldChar w:fldCharType="separate"/>
      </w:r>
      <w:r>
        <w:t>27</w:t>
      </w:r>
      <w:r>
        <w:fldChar w:fldCharType="end"/>
      </w:r>
      <w:r>
        <w:rPr>
          <w:rFonts w:hint="eastAsia" w:ascii="仿宋" w:hAnsi="仿宋" w:eastAsia="仿宋" w:cs="仿宋"/>
        </w:rPr>
        <w:fldChar w:fldCharType="end"/>
      </w:r>
    </w:p>
    <w:p w14:paraId="6704FC27">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_Toc28351 </w:instrText>
      </w:r>
      <w:r>
        <w:rPr>
          <w:rFonts w:hint="eastAsia" w:ascii="仿宋" w:hAnsi="仿宋" w:eastAsia="仿宋" w:cs="仿宋"/>
        </w:rPr>
        <w:fldChar w:fldCharType="separate"/>
      </w:r>
      <w:r>
        <w:rPr>
          <w:rFonts w:hint="eastAsia" w:ascii="仿宋" w:hAnsi="仿宋" w:eastAsia="仿宋" w:cs="仿宋"/>
          <w:szCs w:val="28"/>
        </w:rPr>
        <w:t>4.4 核查过程中未覆盖的问题或者需要特别说明的问题描述</w:t>
      </w:r>
      <w:r>
        <w:tab/>
      </w:r>
      <w:r>
        <w:fldChar w:fldCharType="begin"/>
      </w:r>
      <w:r>
        <w:instrText xml:space="preserve"> PAGEREF _Toc28351 \h </w:instrText>
      </w:r>
      <w:r>
        <w:fldChar w:fldCharType="separate"/>
      </w:r>
      <w:r>
        <w:t>27</w:t>
      </w:r>
      <w:r>
        <w:fldChar w:fldCharType="end"/>
      </w:r>
      <w:r>
        <w:rPr>
          <w:rFonts w:hint="eastAsia" w:ascii="仿宋" w:hAnsi="仿宋" w:eastAsia="仿宋" w:cs="仿宋"/>
        </w:rPr>
        <w:fldChar w:fldCharType="end"/>
      </w:r>
    </w:p>
    <w:p w14:paraId="66E1C0B5">
      <w:pPr>
        <w:pStyle w:val="18"/>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_Toc14767 </w:instrText>
      </w:r>
      <w:r>
        <w:rPr>
          <w:rFonts w:hint="eastAsia" w:ascii="仿宋" w:hAnsi="仿宋" w:eastAsia="仿宋" w:cs="仿宋"/>
        </w:rPr>
        <w:fldChar w:fldCharType="separate"/>
      </w:r>
      <w:r>
        <w:rPr>
          <w:rFonts w:hint="eastAsia" w:ascii="仿宋" w:hAnsi="仿宋" w:eastAsia="仿宋" w:cs="仿宋"/>
          <w:snapToGrid/>
          <w:kern w:val="44"/>
          <w:szCs w:val="28"/>
        </w:rPr>
        <w:t>5 附件</w:t>
      </w:r>
      <w:r>
        <w:tab/>
      </w:r>
      <w:r>
        <w:fldChar w:fldCharType="begin"/>
      </w:r>
      <w:r>
        <w:instrText xml:space="preserve"> PAGEREF _Toc14767 \h </w:instrText>
      </w:r>
      <w:r>
        <w:fldChar w:fldCharType="separate"/>
      </w:r>
      <w:r>
        <w:t>28</w:t>
      </w:r>
      <w:r>
        <w:fldChar w:fldCharType="end"/>
      </w:r>
      <w:r>
        <w:rPr>
          <w:rFonts w:hint="eastAsia" w:ascii="仿宋" w:hAnsi="仿宋" w:eastAsia="仿宋" w:cs="仿宋"/>
        </w:rPr>
        <w:fldChar w:fldCharType="end"/>
      </w:r>
    </w:p>
    <w:p w14:paraId="35FFAF41">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_Toc2040 </w:instrText>
      </w:r>
      <w:r>
        <w:rPr>
          <w:rFonts w:hint="eastAsia" w:ascii="仿宋" w:hAnsi="仿宋" w:eastAsia="仿宋" w:cs="仿宋"/>
        </w:rPr>
        <w:fldChar w:fldCharType="separate"/>
      </w:r>
      <w:r>
        <w:rPr>
          <w:rFonts w:hint="eastAsia" w:ascii="仿宋" w:hAnsi="仿宋" w:eastAsia="仿宋" w:cs="仿宋"/>
          <w:szCs w:val="28"/>
        </w:rPr>
        <w:t>附件1：不符合清单</w:t>
      </w:r>
      <w:r>
        <w:tab/>
      </w:r>
      <w:r>
        <w:fldChar w:fldCharType="begin"/>
      </w:r>
      <w:r>
        <w:instrText xml:space="preserve"> PAGEREF _Toc2040 \h </w:instrText>
      </w:r>
      <w:r>
        <w:fldChar w:fldCharType="separate"/>
      </w:r>
      <w:r>
        <w:t>28</w:t>
      </w:r>
      <w:r>
        <w:fldChar w:fldCharType="end"/>
      </w:r>
      <w:r>
        <w:rPr>
          <w:rFonts w:hint="eastAsia" w:ascii="仿宋" w:hAnsi="仿宋" w:eastAsia="仿宋" w:cs="仿宋"/>
        </w:rPr>
        <w:fldChar w:fldCharType="end"/>
      </w:r>
    </w:p>
    <w:p w14:paraId="4AEDDE83">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_Toc23298 </w:instrText>
      </w:r>
      <w:r>
        <w:rPr>
          <w:rFonts w:hint="eastAsia" w:ascii="仿宋" w:hAnsi="仿宋" w:eastAsia="仿宋" w:cs="仿宋"/>
        </w:rPr>
        <w:fldChar w:fldCharType="separate"/>
      </w:r>
      <w:r>
        <w:rPr>
          <w:rFonts w:hint="eastAsia" w:ascii="仿宋" w:hAnsi="仿宋" w:eastAsia="仿宋" w:cs="仿宋"/>
          <w:szCs w:val="28"/>
        </w:rPr>
        <w:t>附件2：对今后核算活动的建议</w:t>
      </w:r>
      <w:r>
        <w:tab/>
      </w:r>
      <w:r>
        <w:fldChar w:fldCharType="begin"/>
      </w:r>
      <w:r>
        <w:instrText xml:space="preserve"> PAGEREF _Toc23298 \h </w:instrText>
      </w:r>
      <w:r>
        <w:fldChar w:fldCharType="separate"/>
      </w:r>
      <w:r>
        <w:t>28</w:t>
      </w:r>
      <w:r>
        <w:fldChar w:fldCharType="end"/>
      </w:r>
      <w:r>
        <w:rPr>
          <w:rFonts w:hint="eastAsia" w:ascii="仿宋" w:hAnsi="仿宋" w:eastAsia="仿宋" w:cs="仿宋"/>
        </w:rPr>
        <w:fldChar w:fldCharType="end"/>
      </w:r>
    </w:p>
    <w:p w14:paraId="7B6627EE">
      <w:pPr>
        <w:pStyle w:val="22"/>
        <w:tabs>
          <w:tab w:val="right" w:leader="dot" w:pos="8306"/>
        </w:tabs>
      </w:pPr>
      <w:r>
        <w:rPr>
          <w:rFonts w:hint="eastAsia" w:ascii="仿宋" w:hAnsi="仿宋" w:eastAsia="仿宋" w:cs="仿宋"/>
        </w:rPr>
        <w:fldChar w:fldCharType="begin"/>
      </w:r>
      <w:r>
        <w:rPr>
          <w:rFonts w:hint="eastAsia" w:ascii="仿宋" w:hAnsi="仿宋" w:eastAsia="仿宋" w:cs="仿宋"/>
        </w:rPr>
        <w:instrText xml:space="preserve"> HYPERLINK \l _Toc1702 </w:instrText>
      </w:r>
      <w:r>
        <w:rPr>
          <w:rFonts w:hint="eastAsia" w:ascii="仿宋" w:hAnsi="仿宋" w:eastAsia="仿宋" w:cs="仿宋"/>
        </w:rPr>
        <w:fldChar w:fldCharType="separate"/>
      </w:r>
      <w:r>
        <w:rPr>
          <w:rFonts w:hint="eastAsia" w:ascii="仿宋" w:hAnsi="仿宋" w:eastAsia="仿宋" w:cs="仿宋"/>
          <w:szCs w:val="28"/>
        </w:rPr>
        <w:t>附件3：支持性文件清单</w:t>
      </w:r>
      <w:r>
        <w:tab/>
      </w:r>
      <w:r>
        <w:fldChar w:fldCharType="begin"/>
      </w:r>
      <w:r>
        <w:instrText xml:space="preserve"> PAGEREF _Toc1702 \h </w:instrText>
      </w:r>
      <w:r>
        <w:fldChar w:fldCharType="separate"/>
      </w:r>
      <w:r>
        <w:t>29</w:t>
      </w:r>
      <w:r>
        <w:fldChar w:fldCharType="end"/>
      </w:r>
      <w:r>
        <w:rPr>
          <w:rFonts w:hint="eastAsia" w:ascii="仿宋" w:hAnsi="仿宋" w:eastAsia="仿宋" w:cs="仿宋"/>
        </w:rPr>
        <w:fldChar w:fldCharType="end"/>
      </w:r>
    </w:p>
    <w:p w14:paraId="61E8E13E">
      <w:pPr>
        <w:rPr>
          <w:rFonts w:hint="eastAsia" w:ascii="仿宋" w:hAnsi="仿宋" w:eastAsia="仿宋" w:cs="仿宋"/>
        </w:rPr>
      </w:pPr>
      <w:r>
        <w:rPr>
          <w:rFonts w:hint="eastAsia" w:ascii="仿宋" w:hAnsi="仿宋" w:eastAsia="仿宋" w:cs="仿宋"/>
        </w:rPr>
        <w:fldChar w:fldCharType="end"/>
      </w:r>
    </w:p>
    <w:p w14:paraId="2078C217">
      <w:pPr>
        <w:pStyle w:val="2"/>
        <w:spacing w:line="240" w:lineRule="auto"/>
        <w:jc w:val="left"/>
        <w:rPr>
          <w:rFonts w:hint="eastAsia" w:ascii="仿宋" w:hAnsi="仿宋" w:eastAsia="仿宋" w:cs="仿宋"/>
          <w:sz w:val="28"/>
          <w:szCs w:val="28"/>
        </w:rPr>
      </w:pPr>
      <w:r>
        <w:rPr>
          <w:rFonts w:hint="eastAsia" w:ascii="仿宋" w:hAnsi="仿宋" w:eastAsia="仿宋" w:cs="仿宋"/>
        </w:rPr>
        <w:br w:type="page"/>
      </w:r>
      <w:bookmarkStart w:id="1" w:name="_Toc14928"/>
      <w:bookmarkStart w:id="2" w:name="_Toc4514_WPSOffice_Level1"/>
      <w:bookmarkStart w:id="3" w:name="_Toc27607"/>
      <w:bookmarkStart w:id="4" w:name="_Toc13346"/>
      <w:bookmarkStart w:id="5" w:name="_Toc3097"/>
      <w:r>
        <w:rPr>
          <w:rFonts w:hint="eastAsia" w:ascii="仿宋" w:hAnsi="仿宋" w:eastAsia="仿宋" w:cs="仿宋"/>
          <w:sz w:val="28"/>
          <w:szCs w:val="28"/>
        </w:rPr>
        <w:t>1 概述</w:t>
      </w:r>
      <w:bookmarkEnd w:id="1"/>
      <w:bookmarkEnd w:id="2"/>
      <w:bookmarkEnd w:id="3"/>
      <w:bookmarkEnd w:id="4"/>
      <w:bookmarkEnd w:id="5"/>
    </w:p>
    <w:p w14:paraId="3965D7B8">
      <w:pPr>
        <w:pStyle w:val="3"/>
        <w:spacing w:beforeLines="50" w:afterLines="50"/>
        <w:rPr>
          <w:rFonts w:hint="eastAsia" w:ascii="仿宋" w:hAnsi="仿宋" w:eastAsia="仿宋" w:cs="仿宋"/>
          <w:sz w:val="28"/>
          <w:szCs w:val="28"/>
        </w:rPr>
      </w:pPr>
      <w:bookmarkStart w:id="6" w:name="_Toc5719"/>
      <w:bookmarkStart w:id="7" w:name="_Toc366147678"/>
      <w:bookmarkStart w:id="8" w:name="_Toc6573"/>
      <w:bookmarkStart w:id="9" w:name="_Toc4683"/>
      <w:bookmarkStart w:id="10" w:name="_Toc23646"/>
      <w:bookmarkStart w:id="11" w:name="_Toc23329"/>
      <w:bookmarkStart w:id="12" w:name="_Toc4176"/>
      <w:bookmarkStart w:id="13" w:name="_Toc19924"/>
      <w:bookmarkStart w:id="14" w:name="_Toc1561_WPSOffice_Level2"/>
      <w:bookmarkStart w:id="15" w:name="_Toc503300107"/>
      <w:bookmarkStart w:id="16" w:name="_Toc444196287"/>
      <w:bookmarkStart w:id="17" w:name="_Toc444197178"/>
      <w:bookmarkStart w:id="18" w:name="_Toc14277"/>
      <w:bookmarkStart w:id="19" w:name="_Toc11564"/>
      <w:r>
        <w:rPr>
          <w:rFonts w:hint="eastAsia" w:ascii="仿宋" w:hAnsi="仿宋" w:eastAsia="仿宋" w:cs="仿宋"/>
          <w:sz w:val="28"/>
          <w:szCs w:val="28"/>
        </w:rPr>
        <w:t>1.1 核查目的</w:t>
      </w:r>
      <w:bookmarkEnd w:id="6"/>
      <w:bookmarkEnd w:id="7"/>
      <w:bookmarkEnd w:id="8"/>
      <w:bookmarkEnd w:id="9"/>
      <w:bookmarkEnd w:id="10"/>
      <w:bookmarkEnd w:id="11"/>
      <w:bookmarkEnd w:id="12"/>
      <w:bookmarkEnd w:id="13"/>
      <w:bookmarkEnd w:id="14"/>
      <w:bookmarkEnd w:id="15"/>
      <w:bookmarkEnd w:id="16"/>
      <w:bookmarkEnd w:id="17"/>
      <w:bookmarkEnd w:id="18"/>
      <w:bookmarkEnd w:id="19"/>
    </w:p>
    <w:p w14:paraId="7417C844">
      <w:pPr>
        <w:rPr>
          <w:rFonts w:hint="eastAsia" w:ascii="仿宋" w:hAnsi="仿宋" w:eastAsia="仿宋" w:cs="仿宋"/>
          <w:szCs w:val="28"/>
        </w:rPr>
      </w:pPr>
      <w:bookmarkStart w:id="20" w:name="_Toc444197179"/>
      <w:bookmarkStart w:id="21" w:name="_Toc2000"/>
      <w:bookmarkStart w:id="22" w:name="_Toc366147679"/>
      <w:bookmarkStart w:id="23" w:name="_Toc444196288"/>
      <w:bookmarkStart w:id="24" w:name="_Toc13798"/>
      <w:bookmarkStart w:id="25" w:name="_Toc14482"/>
      <w:bookmarkStart w:id="26" w:name="_Toc25412"/>
      <w:r>
        <w:rPr>
          <w:rFonts w:hint="eastAsia" w:ascii="仿宋" w:hAnsi="仿宋" w:eastAsia="仿宋" w:cs="仿宋"/>
          <w:szCs w:val="28"/>
        </w:rPr>
        <w:t>吉林伟航环境安全科技有限公司受</w:t>
      </w:r>
      <w:r>
        <w:rPr>
          <w:rFonts w:hint="default" w:ascii="Times New Roman" w:hAnsi="Times New Roman" w:eastAsia="仿宋" w:cs="Times New Roman"/>
          <w:sz w:val="28"/>
          <w:szCs w:val="28"/>
          <w:highlight w:val="none"/>
        </w:rPr>
        <w:t>郯城众一科环化工有限公司</w:t>
      </w:r>
      <w:r>
        <w:rPr>
          <w:rFonts w:hint="eastAsia" w:ascii="仿宋" w:hAnsi="仿宋" w:eastAsia="仿宋" w:cs="仿宋"/>
          <w:szCs w:val="28"/>
        </w:rPr>
        <w:t>的委托，对</w:t>
      </w:r>
      <w:r>
        <w:rPr>
          <w:rFonts w:hint="default" w:ascii="Times New Roman" w:hAnsi="Times New Roman" w:eastAsia="仿宋" w:cs="Times New Roman"/>
          <w:sz w:val="28"/>
          <w:szCs w:val="28"/>
          <w:highlight w:val="none"/>
        </w:rPr>
        <w:t>郯城众一科环化工有限公司</w:t>
      </w:r>
      <w:r>
        <w:rPr>
          <w:rFonts w:hint="eastAsia" w:ascii="仿宋" w:hAnsi="仿宋" w:eastAsia="仿宋" w:cs="仿宋"/>
          <w:szCs w:val="28"/>
        </w:rPr>
        <w:t>2023年度的温室气体排放情况进行核查。</w:t>
      </w:r>
    </w:p>
    <w:p w14:paraId="59D2301E">
      <w:pPr>
        <w:rPr>
          <w:rFonts w:hint="eastAsia" w:ascii="仿宋" w:hAnsi="仿宋" w:eastAsia="仿宋" w:cs="仿宋"/>
          <w:szCs w:val="28"/>
        </w:rPr>
      </w:pPr>
      <w:r>
        <w:rPr>
          <w:rFonts w:hint="eastAsia" w:ascii="仿宋" w:hAnsi="仿宋" w:eastAsia="仿宋" w:cs="仿宋"/>
          <w:szCs w:val="28"/>
        </w:rPr>
        <w:t>此次核查目的包括：</w:t>
      </w:r>
    </w:p>
    <w:p w14:paraId="1D4CCA0A">
      <w:pPr>
        <w:rPr>
          <w:rFonts w:hint="eastAsia" w:ascii="仿宋" w:hAnsi="仿宋" w:eastAsia="仿宋" w:cs="仿宋"/>
          <w:szCs w:val="28"/>
        </w:rPr>
      </w:pPr>
      <w:bookmarkStart w:id="27" w:name="_Toc503300108"/>
      <w:bookmarkStart w:id="28" w:name="_Toc10470"/>
      <w:r>
        <w:rPr>
          <w:rFonts w:hint="eastAsia" w:ascii="仿宋" w:hAnsi="仿宋" w:eastAsia="仿宋" w:cs="仿宋"/>
          <w:szCs w:val="28"/>
        </w:rPr>
        <w:t>- 确认受核查方提供数据及其支持文件是否是完整可信，实际生产情况是否符合《工业其他行业企业温室气体排放核算方法与报告指南（试行）》（以下简称“《核算指南》”）的要求；</w:t>
      </w:r>
    </w:p>
    <w:p w14:paraId="1467307A">
      <w:pPr>
        <w:rPr>
          <w:rFonts w:hint="eastAsia" w:ascii="仿宋" w:hAnsi="仿宋" w:eastAsia="仿宋" w:cs="仿宋"/>
          <w:szCs w:val="28"/>
        </w:rPr>
      </w:pPr>
      <w:r>
        <w:rPr>
          <w:rFonts w:hint="eastAsia" w:ascii="仿宋" w:hAnsi="仿宋" w:eastAsia="仿宋" w:cs="仿宋"/>
          <w:szCs w:val="28"/>
        </w:rPr>
        <w:t>- 根据《工业其他行业企业温室气体排放核算方法与报告指南（试行）》的要求，对记录和存储的数据进行核查，确认数据及计算结果是否真实、可靠、正确。</w:t>
      </w:r>
    </w:p>
    <w:p w14:paraId="600A020A">
      <w:pPr>
        <w:pStyle w:val="3"/>
        <w:spacing w:beforeLines="50" w:afterLines="50"/>
        <w:rPr>
          <w:rFonts w:hint="eastAsia" w:ascii="仿宋" w:hAnsi="仿宋" w:eastAsia="仿宋" w:cs="仿宋"/>
          <w:sz w:val="28"/>
          <w:szCs w:val="28"/>
        </w:rPr>
      </w:pPr>
      <w:bookmarkStart w:id="29" w:name="_Toc15341"/>
      <w:bookmarkStart w:id="30" w:name="_Toc6482"/>
      <w:bookmarkStart w:id="31" w:name="_Toc28254"/>
      <w:bookmarkStart w:id="32" w:name="_Toc25677"/>
      <w:bookmarkStart w:id="33" w:name="_Toc24730_WPSOffice_Level2"/>
      <w:r>
        <w:rPr>
          <w:rFonts w:hint="eastAsia" w:ascii="仿宋" w:hAnsi="仿宋" w:eastAsia="仿宋" w:cs="仿宋"/>
          <w:sz w:val="28"/>
          <w:szCs w:val="28"/>
        </w:rPr>
        <w:t>1.2 核查范围</w:t>
      </w:r>
      <w:bookmarkEnd w:id="20"/>
      <w:bookmarkEnd w:id="21"/>
      <w:bookmarkEnd w:id="22"/>
      <w:bookmarkEnd w:id="23"/>
      <w:bookmarkEnd w:id="24"/>
      <w:bookmarkEnd w:id="25"/>
      <w:bookmarkEnd w:id="26"/>
      <w:bookmarkEnd w:id="27"/>
      <w:bookmarkEnd w:id="28"/>
      <w:bookmarkEnd w:id="29"/>
      <w:bookmarkEnd w:id="30"/>
      <w:bookmarkEnd w:id="31"/>
      <w:bookmarkEnd w:id="32"/>
      <w:bookmarkEnd w:id="33"/>
    </w:p>
    <w:p w14:paraId="1E60F963">
      <w:pPr>
        <w:rPr>
          <w:rFonts w:hint="eastAsia" w:ascii="仿宋" w:hAnsi="仿宋" w:eastAsia="仿宋" w:cs="仿宋"/>
          <w:szCs w:val="28"/>
        </w:rPr>
      </w:pPr>
      <w:bookmarkStart w:id="34" w:name="_Toc26851"/>
      <w:bookmarkStart w:id="35" w:name="_Toc20662"/>
      <w:bookmarkStart w:id="36" w:name="_Toc19281"/>
      <w:r>
        <w:rPr>
          <w:rFonts w:hint="eastAsia" w:ascii="仿宋" w:hAnsi="仿宋" w:eastAsia="仿宋" w:cs="仿宋"/>
          <w:szCs w:val="28"/>
        </w:rPr>
        <w:t>根据《核算指南》和《2023年碳排放补充数据核算报告模板》的要求，核查组分别核查受核查方企业法人边界和补充数据表边界2023年度的温室气体排放量，核查范围包括：</w:t>
      </w:r>
    </w:p>
    <w:p w14:paraId="119D1AD2">
      <w:pPr>
        <w:widowControl/>
        <w:ind w:right="84"/>
        <w:rPr>
          <w:rFonts w:hint="eastAsia" w:ascii="仿宋" w:hAnsi="仿宋" w:eastAsia="仿宋" w:cs="仿宋"/>
          <w:szCs w:val="28"/>
        </w:rPr>
      </w:pPr>
      <w:r>
        <w:rPr>
          <w:rFonts w:hint="eastAsia" w:ascii="仿宋" w:hAnsi="仿宋" w:eastAsia="仿宋" w:cs="仿宋"/>
          <w:szCs w:val="28"/>
        </w:rPr>
        <w:t>-受核查方法人边界内的温室气体排放总量，涉及直接生产系统、辅助生产系统及直接为生产服务的附属生产系统产生的温室气体排放。</w:t>
      </w:r>
    </w:p>
    <w:p w14:paraId="0085EC02">
      <w:pPr>
        <w:rPr>
          <w:rFonts w:hint="eastAsia" w:ascii="仿宋" w:hAnsi="仿宋" w:eastAsia="仿宋" w:cs="仿宋"/>
          <w:szCs w:val="28"/>
        </w:rPr>
      </w:pPr>
      <w:r>
        <w:rPr>
          <w:rFonts w:hint="eastAsia" w:ascii="仿宋" w:hAnsi="仿宋" w:eastAsia="仿宋" w:cs="仿宋"/>
          <w:szCs w:val="28"/>
        </w:rPr>
        <w:t>- 受核查方2023年度碳排放补充数据核算报告中的二氧化碳排放量，以及与配额分配相关的所有补充数据。</w:t>
      </w:r>
    </w:p>
    <w:p w14:paraId="6DE42D9A">
      <w:pPr>
        <w:pStyle w:val="3"/>
        <w:spacing w:beforeLines="50" w:afterLines="50"/>
        <w:rPr>
          <w:rFonts w:hint="eastAsia" w:ascii="仿宋" w:hAnsi="仿宋" w:eastAsia="仿宋" w:cs="仿宋"/>
          <w:sz w:val="28"/>
          <w:szCs w:val="28"/>
        </w:rPr>
      </w:pPr>
      <w:bookmarkStart w:id="37" w:name="_Toc1985"/>
      <w:bookmarkStart w:id="38" w:name="_Toc12805"/>
      <w:bookmarkStart w:id="39" w:name="_Toc503300109"/>
      <w:bookmarkStart w:id="40" w:name="_Toc24113"/>
      <w:bookmarkStart w:id="41" w:name="_Toc219"/>
      <w:bookmarkStart w:id="42" w:name="_Toc18683"/>
      <w:bookmarkStart w:id="43" w:name="_Toc444197180"/>
      <w:bookmarkStart w:id="44" w:name="_Toc22_WPSOffice_Level2"/>
      <w:bookmarkStart w:id="45" w:name="_Toc24383"/>
      <w:bookmarkStart w:id="46" w:name="_Toc444196289"/>
      <w:r>
        <w:rPr>
          <w:rFonts w:hint="eastAsia" w:ascii="仿宋" w:hAnsi="仿宋" w:eastAsia="仿宋" w:cs="仿宋"/>
          <w:sz w:val="28"/>
          <w:szCs w:val="28"/>
        </w:rPr>
        <w:t>1.3 核查准则</w:t>
      </w:r>
      <w:bookmarkEnd w:id="34"/>
      <w:bookmarkEnd w:id="35"/>
      <w:bookmarkEnd w:id="36"/>
      <w:bookmarkEnd w:id="37"/>
      <w:bookmarkEnd w:id="38"/>
      <w:bookmarkEnd w:id="39"/>
      <w:bookmarkEnd w:id="40"/>
      <w:bookmarkEnd w:id="41"/>
      <w:bookmarkEnd w:id="42"/>
      <w:bookmarkEnd w:id="43"/>
      <w:bookmarkEnd w:id="44"/>
      <w:bookmarkEnd w:id="45"/>
      <w:bookmarkEnd w:id="46"/>
    </w:p>
    <w:p w14:paraId="7943DC55">
      <w:pPr>
        <w:rPr>
          <w:rFonts w:hint="eastAsia" w:ascii="仿宋" w:hAnsi="仿宋" w:eastAsia="仿宋" w:cs="仿宋"/>
          <w:szCs w:val="28"/>
        </w:rPr>
      </w:pPr>
      <w:r>
        <w:rPr>
          <w:rFonts w:hint="eastAsia" w:ascii="仿宋" w:hAnsi="仿宋" w:eastAsia="仿宋" w:cs="仿宋"/>
          <w:szCs w:val="28"/>
        </w:rPr>
        <w:t>吉林伟航环境安全科技有限公司依据《排放监测计划审核和排放报告核查参考指南》的相关要求，开展本次核查工作，遵守下列原则：</w:t>
      </w:r>
    </w:p>
    <w:p w14:paraId="34493DDE">
      <w:pPr>
        <w:rPr>
          <w:rFonts w:hint="eastAsia" w:ascii="仿宋" w:hAnsi="仿宋" w:eastAsia="仿宋" w:cs="仿宋"/>
          <w:szCs w:val="28"/>
        </w:rPr>
      </w:pPr>
      <w:bookmarkStart w:id="47" w:name="_Toc19433_WPSOffice_Level3"/>
      <w:bookmarkStart w:id="48" w:name="_Toc18776_WPSOffice_Level3"/>
      <w:bookmarkStart w:id="49" w:name="_Toc20632_WPSOffice_Level3"/>
      <w:bookmarkStart w:id="50" w:name="_Toc13835_WPSOffice_Level3"/>
      <w:r>
        <w:rPr>
          <w:rFonts w:hint="eastAsia" w:ascii="仿宋" w:hAnsi="仿宋" w:eastAsia="仿宋" w:cs="仿宋"/>
          <w:szCs w:val="28"/>
        </w:rPr>
        <w:t>（1）客观独立</w:t>
      </w:r>
      <w:bookmarkEnd w:id="47"/>
      <w:bookmarkEnd w:id="48"/>
      <w:bookmarkEnd w:id="49"/>
      <w:bookmarkEnd w:id="50"/>
    </w:p>
    <w:p w14:paraId="752B8C90">
      <w:pPr>
        <w:rPr>
          <w:rFonts w:hint="eastAsia" w:ascii="仿宋" w:hAnsi="仿宋" w:eastAsia="仿宋" w:cs="仿宋"/>
          <w:szCs w:val="28"/>
        </w:rPr>
      </w:pPr>
      <w:r>
        <w:rPr>
          <w:rFonts w:hint="eastAsia" w:ascii="仿宋" w:hAnsi="仿宋" w:eastAsia="仿宋" w:cs="仿宋"/>
          <w:szCs w:val="28"/>
        </w:rPr>
        <w:t>保持独立于委托方和受核查方，避免偏见及利益冲突，在整个核查活动中保持客观。</w:t>
      </w:r>
    </w:p>
    <w:p w14:paraId="07AAFF4B">
      <w:pPr>
        <w:rPr>
          <w:rFonts w:hint="eastAsia" w:ascii="仿宋" w:hAnsi="仿宋" w:eastAsia="仿宋" w:cs="仿宋"/>
          <w:szCs w:val="28"/>
        </w:rPr>
      </w:pPr>
      <w:bookmarkStart w:id="51" w:name="_Toc24162_WPSOffice_Level3"/>
      <w:bookmarkStart w:id="52" w:name="_Toc22716_WPSOffice_Level3"/>
      <w:bookmarkStart w:id="53" w:name="_Toc16318_WPSOffice_Level3"/>
      <w:bookmarkStart w:id="54" w:name="_Toc17011_WPSOffice_Level3"/>
      <w:r>
        <w:rPr>
          <w:rFonts w:hint="eastAsia" w:ascii="仿宋" w:hAnsi="仿宋" w:eastAsia="仿宋" w:cs="仿宋"/>
          <w:szCs w:val="28"/>
        </w:rPr>
        <w:t>（2）诚信守信</w:t>
      </w:r>
      <w:bookmarkEnd w:id="51"/>
      <w:bookmarkEnd w:id="52"/>
      <w:bookmarkEnd w:id="53"/>
      <w:bookmarkEnd w:id="54"/>
    </w:p>
    <w:p w14:paraId="35D20D67">
      <w:pPr>
        <w:rPr>
          <w:rFonts w:hint="eastAsia" w:ascii="仿宋" w:hAnsi="仿宋" w:eastAsia="仿宋" w:cs="仿宋"/>
          <w:szCs w:val="28"/>
        </w:rPr>
      </w:pPr>
      <w:r>
        <w:rPr>
          <w:rFonts w:hint="eastAsia" w:ascii="仿宋" w:hAnsi="仿宋" w:eastAsia="仿宋" w:cs="仿宋"/>
          <w:szCs w:val="28"/>
        </w:rPr>
        <w:t>具有高度的责任感，确保核查工作的完整性和保密性。</w:t>
      </w:r>
    </w:p>
    <w:p w14:paraId="3D80CF6D">
      <w:pPr>
        <w:rPr>
          <w:rFonts w:hint="eastAsia" w:ascii="仿宋" w:hAnsi="仿宋" w:eastAsia="仿宋" w:cs="仿宋"/>
          <w:szCs w:val="28"/>
        </w:rPr>
      </w:pPr>
      <w:bookmarkStart w:id="55" w:name="_Toc18282_WPSOffice_Level3"/>
      <w:bookmarkStart w:id="56" w:name="_Toc21123_WPSOffice_Level3"/>
      <w:bookmarkStart w:id="57" w:name="_Toc11103_WPSOffice_Level3"/>
      <w:bookmarkStart w:id="58" w:name="_Toc25091_WPSOffice_Level3"/>
      <w:r>
        <w:rPr>
          <w:rFonts w:hint="eastAsia" w:ascii="仿宋" w:hAnsi="仿宋" w:eastAsia="仿宋" w:cs="仿宋"/>
          <w:szCs w:val="28"/>
        </w:rPr>
        <w:t>（3）公平公正</w:t>
      </w:r>
      <w:bookmarkEnd w:id="55"/>
      <w:bookmarkEnd w:id="56"/>
      <w:bookmarkEnd w:id="57"/>
      <w:bookmarkEnd w:id="58"/>
    </w:p>
    <w:p w14:paraId="5963ED95">
      <w:pPr>
        <w:rPr>
          <w:rFonts w:hint="eastAsia" w:ascii="仿宋" w:hAnsi="仿宋" w:eastAsia="仿宋" w:cs="仿宋"/>
          <w:szCs w:val="28"/>
        </w:rPr>
      </w:pPr>
      <w:r>
        <w:rPr>
          <w:rFonts w:hint="eastAsia" w:ascii="仿宋" w:hAnsi="仿宋" w:eastAsia="仿宋" w:cs="仿宋"/>
          <w:szCs w:val="28"/>
        </w:rPr>
        <w:t>真实、准确地反映核查活动中的发现和结论，如实报告核查活动中所遇到的重大障碍，以及未解决的分歧意见。</w:t>
      </w:r>
    </w:p>
    <w:p w14:paraId="6F81BC6F">
      <w:pPr>
        <w:rPr>
          <w:rFonts w:hint="eastAsia" w:ascii="仿宋" w:hAnsi="仿宋" w:eastAsia="仿宋" w:cs="仿宋"/>
          <w:szCs w:val="28"/>
        </w:rPr>
      </w:pPr>
      <w:bookmarkStart w:id="59" w:name="_Toc2897_WPSOffice_Level3"/>
      <w:bookmarkStart w:id="60" w:name="_Toc9553_WPSOffice_Level3"/>
      <w:bookmarkStart w:id="61" w:name="_Toc32488_WPSOffice_Level3"/>
      <w:bookmarkStart w:id="62" w:name="_Toc19328_WPSOffice_Level3"/>
      <w:r>
        <w:rPr>
          <w:rFonts w:hint="eastAsia" w:ascii="仿宋" w:hAnsi="仿宋" w:eastAsia="仿宋" w:cs="仿宋"/>
          <w:szCs w:val="28"/>
        </w:rPr>
        <w:t>（4）专业严谨</w:t>
      </w:r>
      <w:bookmarkEnd w:id="59"/>
      <w:bookmarkEnd w:id="60"/>
      <w:bookmarkEnd w:id="61"/>
      <w:bookmarkEnd w:id="62"/>
    </w:p>
    <w:p w14:paraId="17381B52">
      <w:pPr>
        <w:rPr>
          <w:rFonts w:hint="eastAsia" w:ascii="仿宋" w:hAnsi="仿宋" w:eastAsia="仿宋" w:cs="仿宋"/>
          <w:szCs w:val="28"/>
        </w:rPr>
      </w:pPr>
      <w:r>
        <w:rPr>
          <w:rFonts w:hint="eastAsia" w:ascii="仿宋" w:hAnsi="仿宋" w:eastAsia="仿宋" w:cs="仿宋"/>
          <w:szCs w:val="28"/>
        </w:rPr>
        <w:t>具备核查必须的专业技能，能够根据任务的重要性和委托方的具体要求，利用其职业素养进行严谨判断。</w:t>
      </w:r>
    </w:p>
    <w:p w14:paraId="631CC9FC">
      <w:pPr>
        <w:rPr>
          <w:rFonts w:hint="eastAsia" w:ascii="仿宋" w:hAnsi="仿宋" w:eastAsia="仿宋" w:cs="仿宋"/>
          <w:szCs w:val="28"/>
        </w:rPr>
      </w:pPr>
      <w:r>
        <w:rPr>
          <w:rFonts w:hint="eastAsia" w:ascii="仿宋" w:hAnsi="仿宋" w:eastAsia="仿宋" w:cs="仿宋"/>
          <w:szCs w:val="28"/>
        </w:rPr>
        <w:t>本次核查工作的相关依据包括：</w:t>
      </w:r>
    </w:p>
    <w:p w14:paraId="130B6255">
      <w:pPr>
        <w:rPr>
          <w:rFonts w:hint="eastAsia" w:ascii="仿宋" w:hAnsi="仿宋" w:eastAsia="仿宋" w:cs="仿宋"/>
          <w:szCs w:val="28"/>
        </w:rPr>
      </w:pPr>
      <w:r>
        <w:rPr>
          <w:rFonts w:hint="eastAsia" w:ascii="仿宋" w:hAnsi="仿宋" w:eastAsia="仿宋" w:cs="仿宋"/>
        </w:rPr>
        <w:t xml:space="preserve">- </w:t>
      </w:r>
      <w:r>
        <w:rPr>
          <w:rFonts w:hint="eastAsia" w:ascii="仿宋" w:hAnsi="仿宋" w:eastAsia="仿宋" w:cs="仿宋"/>
          <w:szCs w:val="28"/>
        </w:rPr>
        <w:t>《工业其他行业企业温室气体排放核算方法与报告指南（试行）》</w:t>
      </w:r>
    </w:p>
    <w:p w14:paraId="4304970B">
      <w:pPr>
        <w:rPr>
          <w:rFonts w:hint="eastAsia" w:ascii="仿宋" w:hAnsi="仿宋" w:eastAsia="仿宋" w:cs="仿宋"/>
          <w:szCs w:val="28"/>
        </w:rPr>
      </w:pPr>
      <w:r>
        <w:rPr>
          <w:rFonts w:hint="eastAsia" w:ascii="仿宋" w:hAnsi="仿宋" w:eastAsia="仿宋" w:cs="仿宋"/>
          <w:szCs w:val="28"/>
        </w:rPr>
        <w:t xml:space="preserve">- </w:t>
      </w:r>
      <w:r>
        <w:rPr>
          <w:rFonts w:hint="eastAsia" w:ascii="仿宋" w:hAnsi="仿宋" w:eastAsia="仿宋" w:cs="仿宋"/>
        </w:rPr>
        <w:fldChar w:fldCharType="begin"/>
      </w:r>
      <w:r>
        <w:rPr>
          <w:rFonts w:hint="eastAsia" w:ascii="仿宋" w:hAnsi="仿宋" w:eastAsia="仿宋" w:cs="仿宋"/>
        </w:rPr>
        <w:instrText xml:space="preserve"> HYPERLINK "javascript:void(0)" </w:instrText>
      </w:r>
      <w:r>
        <w:rPr>
          <w:rFonts w:hint="eastAsia" w:ascii="仿宋" w:hAnsi="仿宋" w:eastAsia="仿宋" w:cs="仿宋"/>
        </w:rPr>
        <w:fldChar w:fldCharType="separate"/>
      </w:r>
      <w:r>
        <w:rPr>
          <w:rFonts w:hint="eastAsia" w:ascii="仿宋" w:hAnsi="仿宋" w:eastAsia="仿宋" w:cs="仿宋"/>
          <w:szCs w:val="28"/>
        </w:rPr>
        <w:t>国家碳排放帮助平台百问百答</w:t>
      </w:r>
      <w:r>
        <w:rPr>
          <w:rFonts w:hint="eastAsia" w:ascii="仿宋" w:hAnsi="仿宋" w:eastAsia="仿宋" w:cs="仿宋"/>
          <w:szCs w:val="28"/>
        </w:rPr>
        <w:fldChar w:fldCharType="end"/>
      </w:r>
    </w:p>
    <w:p w14:paraId="7267AE94">
      <w:pPr>
        <w:ind w:firstLineChars="0"/>
        <w:rPr>
          <w:rFonts w:hint="eastAsia" w:ascii="仿宋" w:hAnsi="仿宋" w:eastAsia="仿宋" w:cs="仿宋"/>
          <w:szCs w:val="28"/>
        </w:rPr>
      </w:pPr>
      <w:r>
        <w:rPr>
          <w:rFonts w:hint="eastAsia" w:ascii="仿宋" w:hAnsi="仿宋" w:eastAsia="仿宋" w:cs="仿宋"/>
          <w:szCs w:val="28"/>
        </w:rPr>
        <w:t>- 《国民经济行业分类》（GB/T4754-2017）</w:t>
      </w:r>
    </w:p>
    <w:p w14:paraId="0F1A3782">
      <w:pPr>
        <w:ind w:firstLineChars="0"/>
        <w:rPr>
          <w:rFonts w:hint="eastAsia" w:ascii="仿宋" w:hAnsi="仿宋" w:eastAsia="仿宋" w:cs="仿宋"/>
          <w:szCs w:val="28"/>
        </w:rPr>
      </w:pPr>
      <w:r>
        <w:rPr>
          <w:rFonts w:hint="eastAsia" w:ascii="仿宋" w:hAnsi="仿宋" w:eastAsia="仿宋" w:cs="仿宋"/>
          <w:szCs w:val="28"/>
        </w:rPr>
        <w:t>- 《统计用产品分类目录》</w:t>
      </w:r>
    </w:p>
    <w:p w14:paraId="078A8BCD">
      <w:pPr>
        <w:rPr>
          <w:rFonts w:hint="eastAsia" w:ascii="仿宋" w:hAnsi="仿宋" w:eastAsia="仿宋" w:cs="仿宋"/>
          <w:szCs w:val="28"/>
        </w:rPr>
      </w:pPr>
      <w:r>
        <w:rPr>
          <w:rFonts w:hint="eastAsia" w:ascii="仿宋" w:hAnsi="仿宋" w:eastAsia="仿宋" w:cs="仿宋"/>
          <w:szCs w:val="28"/>
        </w:rPr>
        <w:t>- 《用能单位能源计量器具配备与管理通则》（GB 17167-2006）</w:t>
      </w:r>
    </w:p>
    <w:p w14:paraId="281615DE">
      <w:pPr>
        <w:rPr>
          <w:rFonts w:hint="eastAsia" w:ascii="仿宋" w:hAnsi="仿宋" w:eastAsia="仿宋" w:cs="仿宋"/>
          <w:szCs w:val="28"/>
        </w:rPr>
      </w:pPr>
      <w:r>
        <w:rPr>
          <w:rFonts w:hint="eastAsia" w:ascii="仿宋" w:hAnsi="仿宋" w:eastAsia="仿宋" w:cs="仿宋"/>
          <w:szCs w:val="28"/>
        </w:rPr>
        <w:t>- 《综合能耗计算通则》（GB/T2589-2008）</w:t>
      </w:r>
    </w:p>
    <w:p w14:paraId="360D689C">
      <w:pPr>
        <w:rPr>
          <w:rFonts w:hint="eastAsia" w:ascii="仿宋" w:hAnsi="仿宋" w:eastAsia="仿宋" w:cs="仿宋"/>
          <w:szCs w:val="28"/>
        </w:rPr>
      </w:pPr>
      <w:r>
        <w:rPr>
          <w:rFonts w:hint="eastAsia" w:ascii="仿宋" w:hAnsi="仿宋" w:eastAsia="仿宋" w:cs="仿宋"/>
          <w:szCs w:val="28"/>
        </w:rPr>
        <w:t>-《电能计量装置技术管理规程》（DL/T448-2000）</w:t>
      </w:r>
    </w:p>
    <w:p w14:paraId="1BD49A80">
      <w:pPr>
        <w:rPr>
          <w:rFonts w:hint="eastAsia" w:ascii="仿宋" w:hAnsi="仿宋" w:eastAsia="仿宋" w:cs="仿宋"/>
          <w:szCs w:val="28"/>
        </w:rPr>
      </w:pPr>
      <w:r>
        <w:rPr>
          <w:rFonts w:hint="eastAsia" w:ascii="仿宋" w:hAnsi="仿宋" w:eastAsia="仿宋" w:cs="仿宋"/>
          <w:szCs w:val="28"/>
        </w:rPr>
        <w:t>- 《煤的发热量测定方法》（GB/T213-2008）</w:t>
      </w:r>
    </w:p>
    <w:p w14:paraId="70D9C33E">
      <w:pPr>
        <w:rPr>
          <w:rFonts w:hint="eastAsia" w:ascii="仿宋" w:hAnsi="仿宋" w:eastAsia="仿宋" w:cs="仿宋"/>
          <w:szCs w:val="28"/>
        </w:rPr>
      </w:pPr>
      <w:r>
        <w:rPr>
          <w:rFonts w:hint="eastAsia" w:ascii="仿宋" w:hAnsi="仿宋" w:eastAsia="仿宋" w:cs="仿宋"/>
          <w:szCs w:val="28"/>
        </w:rPr>
        <w:t>- 《煤中碳和氢的测定方法》（GB/T 476-2008）</w:t>
      </w:r>
    </w:p>
    <w:p w14:paraId="1F8E668E">
      <w:pPr>
        <w:rPr>
          <w:rFonts w:hint="eastAsia" w:ascii="仿宋" w:hAnsi="仿宋" w:eastAsia="仿宋" w:cs="仿宋"/>
          <w:szCs w:val="28"/>
        </w:rPr>
      </w:pPr>
      <w:r>
        <w:rPr>
          <w:rFonts w:hint="eastAsia" w:ascii="仿宋" w:hAnsi="仿宋" w:eastAsia="仿宋" w:cs="仿宋"/>
          <w:szCs w:val="28"/>
        </w:rPr>
        <w:t>-《电能计量装置技术管理规程》（DL/T448-2000）</w:t>
      </w:r>
    </w:p>
    <w:p w14:paraId="216C10A7">
      <w:pPr>
        <w:rPr>
          <w:rFonts w:hint="eastAsia" w:ascii="仿宋" w:hAnsi="仿宋" w:eastAsia="仿宋" w:cs="仿宋"/>
          <w:szCs w:val="28"/>
        </w:rPr>
      </w:pPr>
      <w:r>
        <w:rPr>
          <w:rFonts w:hint="eastAsia" w:ascii="仿宋" w:hAnsi="仿宋" w:eastAsia="仿宋" w:cs="仿宋"/>
          <w:szCs w:val="28"/>
        </w:rPr>
        <w:t>- 《电子式交流电能表检定规程》（JJG596-2012）</w:t>
      </w:r>
    </w:p>
    <w:p w14:paraId="3167F352">
      <w:pPr>
        <w:rPr>
          <w:rFonts w:hint="eastAsia" w:ascii="仿宋" w:hAnsi="仿宋" w:eastAsia="仿宋" w:cs="仿宋"/>
          <w:szCs w:val="28"/>
        </w:rPr>
      </w:pPr>
      <w:r>
        <w:rPr>
          <w:rFonts w:hint="eastAsia" w:ascii="仿宋" w:hAnsi="仿宋" w:eastAsia="仿宋" w:cs="仿宋"/>
          <w:szCs w:val="28"/>
        </w:rPr>
        <w:t>- 其他相关国家、地方或行业标准</w:t>
      </w:r>
    </w:p>
    <w:p w14:paraId="162A84B3">
      <w:pPr>
        <w:pStyle w:val="2"/>
        <w:jc w:val="left"/>
        <w:rPr>
          <w:rFonts w:hint="eastAsia" w:ascii="仿宋" w:hAnsi="仿宋" w:eastAsia="仿宋" w:cs="仿宋"/>
          <w:sz w:val="28"/>
          <w:szCs w:val="28"/>
        </w:rPr>
      </w:pPr>
      <w:bookmarkStart w:id="63" w:name="_Toc6990"/>
      <w:bookmarkStart w:id="64" w:name="_Toc444197181"/>
      <w:bookmarkStart w:id="65" w:name="_Toc6081"/>
      <w:bookmarkStart w:id="66" w:name="_Toc31781"/>
      <w:bookmarkStart w:id="67" w:name="_Toc30545"/>
      <w:bookmarkStart w:id="68" w:name="_Toc6214_WPSOffice_Level1"/>
      <w:bookmarkStart w:id="69" w:name="_Toc19182"/>
      <w:bookmarkStart w:id="70" w:name="_Toc18482"/>
      <w:bookmarkStart w:id="71" w:name="_Toc444196290"/>
      <w:bookmarkStart w:id="72" w:name="_Toc22794"/>
      <w:bookmarkStart w:id="73" w:name="_Toc3759"/>
      <w:bookmarkStart w:id="74" w:name="_Toc8385"/>
      <w:bookmarkStart w:id="75" w:name="_Toc503300110"/>
      <w:r>
        <w:rPr>
          <w:rFonts w:hint="eastAsia" w:ascii="仿宋" w:hAnsi="仿宋" w:eastAsia="仿宋" w:cs="仿宋"/>
          <w:sz w:val="28"/>
          <w:szCs w:val="28"/>
        </w:rPr>
        <w:t>2 核查过程和方法</w:t>
      </w:r>
      <w:bookmarkEnd w:id="63"/>
      <w:bookmarkEnd w:id="64"/>
      <w:bookmarkEnd w:id="65"/>
      <w:bookmarkEnd w:id="66"/>
      <w:bookmarkEnd w:id="67"/>
      <w:bookmarkEnd w:id="68"/>
      <w:bookmarkEnd w:id="69"/>
      <w:bookmarkEnd w:id="70"/>
      <w:bookmarkEnd w:id="71"/>
      <w:bookmarkEnd w:id="72"/>
      <w:bookmarkEnd w:id="73"/>
      <w:bookmarkEnd w:id="74"/>
      <w:bookmarkEnd w:id="75"/>
    </w:p>
    <w:p w14:paraId="74C293D6">
      <w:pPr>
        <w:pStyle w:val="3"/>
        <w:spacing w:beforeLines="50" w:afterLines="50"/>
        <w:rPr>
          <w:rFonts w:hint="eastAsia" w:ascii="仿宋" w:hAnsi="仿宋" w:eastAsia="仿宋" w:cs="仿宋"/>
          <w:sz w:val="28"/>
          <w:szCs w:val="28"/>
        </w:rPr>
      </w:pPr>
      <w:bookmarkStart w:id="76" w:name="_Toc26321"/>
      <w:bookmarkStart w:id="77" w:name="_Toc29842"/>
      <w:bookmarkStart w:id="78" w:name="_Toc444197182"/>
      <w:bookmarkStart w:id="79" w:name="_Toc444196291"/>
      <w:bookmarkStart w:id="80" w:name="_Toc23636"/>
      <w:bookmarkStart w:id="81" w:name="_Toc503300111"/>
      <w:bookmarkStart w:id="82" w:name="_Toc7587"/>
      <w:bookmarkStart w:id="83" w:name="_Toc31820"/>
      <w:bookmarkStart w:id="84" w:name="_Toc29333"/>
      <w:bookmarkStart w:id="85" w:name="_Toc18501"/>
      <w:bookmarkStart w:id="86" w:name="_Toc19906"/>
      <w:bookmarkStart w:id="87" w:name="_Toc9855_WPSOffice_Level2"/>
      <w:bookmarkStart w:id="88" w:name="_Toc8342"/>
      <w:bookmarkStart w:id="89" w:name="_Toc425855535"/>
      <w:r>
        <w:rPr>
          <w:rFonts w:hint="eastAsia" w:ascii="仿宋" w:hAnsi="仿宋" w:eastAsia="仿宋" w:cs="仿宋"/>
          <w:sz w:val="28"/>
          <w:szCs w:val="28"/>
        </w:rPr>
        <w:t>2.1 核查组安排</w:t>
      </w:r>
      <w:bookmarkEnd w:id="76"/>
      <w:bookmarkEnd w:id="77"/>
      <w:bookmarkEnd w:id="78"/>
      <w:bookmarkEnd w:id="79"/>
      <w:bookmarkEnd w:id="80"/>
      <w:bookmarkEnd w:id="81"/>
      <w:bookmarkEnd w:id="82"/>
      <w:bookmarkEnd w:id="83"/>
      <w:bookmarkEnd w:id="84"/>
      <w:bookmarkEnd w:id="85"/>
      <w:bookmarkEnd w:id="86"/>
      <w:bookmarkEnd w:id="87"/>
      <w:bookmarkEnd w:id="88"/>
    </w:p>
    <w:p w14:paraId="06D38269">
      <w:pPr>
        <w:rPr>
          <w:rFonts w:hint="eastAsia" w:ascii="仿宋" w:hAnsi="仿宋" w:eastAsia="仿宋" w:cs="仿宋"/>
          <w:szCs w:val="28"/>
        </w:rPr>
      </w:pPr>
      <w:r>
        <w:rPr>
          <w:rFonts w:hint="eastAsia" w:ascii="仿宋" w:hAnsi="仿宋" w:eastAsia="仿宋" w:cs="仿宋"/>
          <w:szCs w:val="28"/>
        </w:rPr>
        <w:t>依据受核查方的规模、行业，以及核查员的专业领域和技术能力，</w:t>
      </w:r>
      <w:r>
        <w:rPr>
          <w:rFonts w:hint="eastAsia" w:ascii="仿宋" w:hAnsi="仿宋" w:eastAsia="仿宋" w:cs="仿宋"/>
        </w:rPr>
        <w:t>吉林伟航环境安全科技有限公司</w:t>
      </w:r>
      <w:r>
        <w:rPr>
          <w:rFonts w:hint="eastAsia" w:ascii="仿宋" w:hAnsi="仿宋" w:eastAsia="仿宋" w:cs="仿宋"/>
          <w:szCs w:val="28"/>
        </w:rPr>
        <w:t>组织了核查组，核查组成员详见下表。</w:t>
      </w:r>
    </w:p>
    <w:p w14:paraId="61B09887">
      <w:pPr>
        <w:ind w:firstLine="0" w:firstLineChars="0"/>
        <w:jc w:val="center"/>
        <w:rPr>
          <w:rFonts w:hint="eastAsia" w:ascii="仿宋" w:hAnsi="仿宋" w:eastAsia="仿宋" w:cs="仿宋"/>
          <w:b/>
          <w:szCs w:val="28"/>
        </w:rPr>
      </w:pPr>
      <w:bookmarkStart w:id="90" w:name="_Toc12802_WPSOffice_Level3"/>
      <w:bookmarkStart w:id="91" w:name="_Toc26632_WPSOffice_Level3"/>
      <w:bookmarkStart w:id="92" w:name="_Toc2810_WPSOffice_Level3"/>
      <w:bookmarkStart w:id="93" w:name="_Toc10473_WPSOffice_Level3"/>
      <w:r>
        <w:rPr>
          <w:rFonts w:hint="eastAsia" w:ascii="仿宋" w:hAnsi="仿宋" w:eastAsia="仿宋" w:cs="仿宋"/>
          <w:b/>
          <w:szCs w:val="28"/>
        </w:rPr>
        <w:t>表2-1 核查组成员表</w:t>
      </w:r>
      <w:bookmarkEnd w:id="90"/>
      <w:bookmarkEnd w:id="91"/>
      <w:bookmarkEnd w:id="92"/>
      <w:bookmarkEnd w:id="93"/>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1166"/>
        <w:gridCol w:w="1333"/>
        <w:gridCol w:w="5188"/>
      </w:tblGrid>
      <w:tr w14:paraId="45D0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9" w:type="dxa"/>
            <w:vAlign w:val="center"/>
          </w:tcPr>
          <w:p w14:paraId="7D7BA02D">
            <w:pPr>
              <w:pStyle w:val="66"/>
              <w:adjustRightInd/>
              <w:rPr>
                <w:rFonts w:hint="eastAsia" w:ascii="仿宋" w:hAnsi="仿宋" w:eastAsia="仿宋" w:cs="仿宋"/>
                <w:b/>
                <w:bCs/>
              </w:rPr>
            </w:pPr>
            <w:r>
              <w:rPr>
                <w:rFonts w:hint="eastAsia" w:ascii="仿宋" w:hAnsi="仿宋" w:eastAsia="仿宋" w:cs="仿宋"/>
                <w:b/>
                <w:bCs/>
              </w:rPr>
              <w:t>序号</w:t>
            </w:r>
          </w:p>
        </w:tc>
        <w:tc>
          <w:tcPr>
            <w:tcW w:w="1166" w:type="dxa"/>
            <w:vAlign w:val="center"/>
          </w:tcPr>
          <w:p w14:paraId="18ABD5B5">
            <w:pPr>
              <w:pStyle w:val="66"/>
              <w:adjustRightInd/>
              <w:rPr>
                <w:rFonts w:hint="eastAsia" w:ascii="仿宋" w:hAnsi="仿宋" w:eastAsia="仿宋" w:cs="仿宋"/>
                <w:b/>
                <w:bCs/>
              </w:rPr>
            </w:pPr>
            <w:r>
              <w:rPr>
                <w:rFonts w:hint="eastAsia" w:ascii="仿宋" w:hAnsi="仿宋" w:eastAsia="仿宋" w:cs="仿宋"/>
                <w:b/>
                <w:bCs/>
              </w:rPr>
              <w:t>姓名</w:t>
            </w:r>
          </w:p>
        </w:tc>
        <w:tc>
          <w:tcPr>
            <w:tcW w:w="1333" w:type="dxa"/>
            <w:vAlign w:val="center"/>
          </w:tcPr>
          <w:p w14:paraId="674F7328">
            <w:pPr>
              <w:pStyle w:val="66"/>
              <w:adjustRightInd/>
              <w:rPr>
                <w:rFonts w:hint="eastAsia" w:ascii="仿宋" w:hAnsi="仿宋" w:eastAsia="仿宋" w:cs="仿宋"/>
                <w:b/>
                <w:bCs/>
              </w:rPr>
            </w:pPr>
            <w:r>
              <w:rPr>
                <w:rFonts w:hint="eastAsia" w:ascii="仿宋" w:hAnsi="仿宋" w:eastAsia="仿宋" w:cs="仿宋"/>
                <w:b/>
                <w:bCs/>
              </w:rPr>
              <w:t>职务</w:t>
            </w:r>
          </w:p>
        </w:tc>
        <w:tc>
          <w:tcPr>
            <w:tcW w:w="5188" w:type="dxa"/>
            <w:vAlign w:val="center"/>
          </w:tcPr>
          <w:p w14:paraId="1574EF4C">
            <w:pPr>
              <w:pStyle w:val="66"/>
              <w:adjustRightInd/>
              <w:rPr>
                <w:rFonts w:hint="eastAsia" w:ascii="仿宋" w:hAnsi="仿宋" w:eastAsia="仿宋" w:cs="仿宋"/>
                <w:b/>
                <w:bCs/>
              </w:rPr>
            </w:pPr>
            <w:r>
              <w:rPr>
                <w:rFonts w:hint="eastAsia" w:ascii="仿宋" w:hAnsi="仿宋" w:eastAsia="仿宋" w:cs="仿宋"/>
                <w:b/>
                <w:bCs/>
              </w:rPr>
              <w:t>核查工作分工内容</w:t>
            </w:r>
          </w:p>
        </w:tc>
      </w:tr>
      <w:tr w14:paraId="57775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9" w:type="dxa"/>
            <w:vAlign w:val="center"/>
          </w:tcPr>
          <w:p w14:paraId="0E915413">
            <w:pPr>
              <w:pStyle w:val="66"/>
              <w:adjustRightInd/>
              <w:rPr>
                <w:rFonts w:hint="eastAsia" w:ascii="仿宋" w:hAnsi="仿宋" w:eastAsia="仿宋" w:cs="仿宋"/>
              </w:rPr>
            </w:pPr>
            <w:r>
              <w:rPr>
                <w:rFonts w:hint="eastAsia" w:ascii="仿宋" w:hAnsi="仿宋" w:eastAsia="仿宋" w:cs="仿宋"/>
              </w:rPr>
              <w:t>1</w:t>
            </w:r>
          </w:p>
        </w:tc>
        <w:tc>
          <w:tcPr>
            <w:tcW w:w="1166" w:type="dxa"/>
            <w:vAlign w:val="center"/>
          </w:tcPr>
          <w:p w14:paraId="2A493BF5">
            <w:pPr>
              <w:pStyle w:val="66"/>
              <w:adjustRightInd/>
              <w:rPr>
                <w:rFonts w:hint="eastAsia" w:ascii="仿宋" w:hAnsi="仿宋" w:eastAsia="仿宋" w:cs="仿宋"/>
              </w:rPr>
            </w:pPr>
            <w:r>
              <w:rPr>
                <w:rFonts w:hint="eastAsia" w:ascii="仿宋" w:hAnsi="仿宋" w:eastAsia="仿宋" w:cs="仿宋"/>
              </w:rPr>
              <w:t>耿喆</w:t>
            </w:r>
          </w:p>
        </w:tc>
        <w:tc>
          <w:tcPr>
            <w:tcW w:w="1333" w:type="dxa"/>
            <w:vAlign w:val="center"/>
          </w:tcPr>
          <w:p w14:paraId="0533208A">
            <w:pPr>
              <w:pStyle w:val="66"/>
              <w:adjustRightInd/>
              <w:rPr>
                <w:rFonts w:hint="eastAsia" w:ascii="仿宋" w:hAnsi="仿宋" w:eastAsia="仿宋" w:cs="仿宋"/>
              </w:rPr>
            </w:pPr>
            <w:r>
              <w:rPr>
                <w:rFonts w:hint="eastAsia" w:ascii="仿宋" w:hAnsi="仿宋" w:eastAsia="仿宋" w:cs="仿宋"/>
              </w:rPr>
              <w:t>组长</w:t>
            </w:r>
          </w:p>
        </w:tc>
        <w:tc>
          <w:tcPr>
            <w:tcW w:w="5188" w:type="dxa"/>
          </w:tcPr>
          <w:p w14:paraId="0EA1E681">
            <w:pPr>
              <w:pStyle w:val="66"/>
              <w:adjustRightInd/>
              <w:jc w:val="both"/>
              <w:rPr>
                <w:rFonts w:hint="eastAsia" w:ascii="仿宋" w:hAnsi="仿宋" w:eastAsia="仿宋" w:cs="仿宋"/>
              </w:rPr>
            </w:pPr>
            <w:r>
              <w:rPr>
                <w:rFonts w:hint="eastAsia" w:ascii="仿宋" w:hAnsi="仿宋" w:eastAsia="仿宋" w:cs="仿宋"/>
              </w:rPr>
              <w:t>企业层级和补充数据表层级的碳排放边界、排放源和排放设施的核查，排放报告中活动水平数据和相关参数的符合性核查，排放量计算及结果的核查等；编写报告。</w:t>
            </w:r>
          </w:p>
        </w:tc>
      </w:tr>
      <w:tr w14:paraId="5F226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9" w:type="dxa"/>
            <w:vAlign w:val="center"/>
          </w:tcPr>
          <w:p w14:paraId="337071A1">
            <w:pPr>
              <w:pStyle w:val="66"/>
              <w:adjustRightInd/>
              <w:rPr>
                <w:rFonts w:hint="eastAsia" w:ascii="仿宋" w:hAnsi="仿宋" w:eastAsia="仿宋" w:cs="仿宋"/>
              </w:rPr>
            </w:pPr>
            <w:r>
              <w:rPr>
                <w:rFonts w:hint="eastAsia" w:ascii="仿宋" w:hAnsi="仿宋" w:eastAsia="仿宋" w:cs="仿宋"/>
              </w:rPr>
              <w:t>2</w:t>
            </w:r>
          </w:p>
        </w:tc>
        <w:tc>
          <w:tcPr>
            <w:tcW w:w="1166" w:type="dxa"/>
            <w:vAlign w:val="center"/>
          </w:tcPr>
          <w:p w14:paraId="18B6A750">
            <w:pPr>
              <w:pStyle w:val="66"/>
              <w:adjustRightInd/>
              <w:rPr>
                <w:rFonts w:hint="eastAsia" w:ascii="仿宋" w:hAnsi="仿宋" w:eastAsia="仿宋" w:cs="仿宋"/>
                <w:szCs w:val="28"/>
              </w:rPr>
            </w:pPr>
            <w:r>
              <w:rPr>
                <w:rFonts w:hint="eastAsia" w:ascii="仿宋" w:hAnsi="仿宋" w:eastAsia="仿宋" w:cs="仿宋"/>
                <w:szCs w:val="28"/>
              </w:rPr>
              <w:t>李阳</w:t>
            </w:r>
          </w:p>
        </w:tc>
        <w:tc>
          <w:tcPr>
            <w:tcW w:w="1333" w:type="dxa"/>
            <w:vAlign w:val="center"/>
          </w:tcPr>
          <w:p w14:paraId="114A68D9">
            <w:pPr>
              <w:pStyle w:val="66"/>
              <w:adjustRightInd/>
              <w:rPr>
                <w:rFonts w:hint="eastAsia" w:ascii="仿宋" w:hAnsi="仿宋" w:eastAsia="仿宋" w:cs="仿宋"/>
              </w:rPr>
            </w:pPr>
            <w:r>
              <w:rPr>
                <w:rFonts w:hint="eastAsia" w:ascii="仿宋" w:hAnsi="仿宋" w:eastAsia="仿宋" w:cs="仿宋"/>
              </w:rPr>
              <w:t>组员</w:t>
            </w:r>
          </w:p>
        </w:tc>
        <w:tc>
          <w:tcPr>
            <w:tcW w:w="5188" w:type="dxa"/>
          </w:tcPr>
          <w:p w14:paraId="34768A5A">
            <w:pPr>
              <w:pStyle w:val="66"/>
              <w:adjustRightInd/>
              <w:jc w:val="both"/>
              <w:rPr>
                <w:rFonts w:hint="eastAsia" w:ascii="仿宋" w:hAnsi="仿宋" w:eastAsia="仿宋" w:cs="仿宋"/>
              </w:rPr>
            </w:pPr>
            <w:r>
              <w:rPr>
                <w:rFonts w:hint="eastAsia" w:ascii="仿宋" w:hAnsi="仿宋" w:eastAsia="仿宋" w:cs="仿宋"/>
              </w:rPr>
              <w:t>受核查方基本信息、主要耗能设备、计量设备的核查，以及资料收集整理等；编写报告</w:t>
            </w:r>
          </w:p>
        </w:tc>
      </w:tr>
      <w:tr w14:paraId="5B98C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9" w:type="dxa"/>
            <w:vAlign w:val="center"/>
          </w:tcPr>
          <w:p w14:paraId="689A99B4">
            <w:pPr>
              <w:pStyle w:val="66"/>
              <w:adjustRightInd/>
              <w:rPr>
                <w:rFonts w:hint="eastAsia" w:ascii="仿宋" w:hAnsi="仿宋" w:eastAsia="仿宋" w:cs="仿宋"/>
              </w:rPr>
            </w:pPr>
            <w:r>
              <w:rPr>
                <w:rFonts w:hint="eastAsia" w:ascii="仿宋" w:hAnsi="仿宋" w:eastAsia="仿宋" w:cs="仿宋"/>
              </w:rPr>
              <w:t>3</w:t>
            </w:r>
          </w:p>
        </w:tc>
        <w:tc>
          <w:tcPr>
            <w:tcW w:w="1166" w:type="dxa"/>
            <w:vAlign w:val="center"/>
          </w:tcPr>
          <w:p w14:paraId="23DC9CC5">
            <w:pPr>
              <w:pStyle w:val="66"/>
              <w:adjustRightInd/>
              <w:rPr>
                <w:rFonts w:hint="eastAsia" w:ascii="仿宋" w:hAnsi="仿宋" w:eastAsia="仿宋" w:cs="仿宋"/>
                <w:szCs w:val="28"/>
              </w:rPr>
            </w:pPr>
            <w:r>
              <w:rPr>
                <w:rFonts w:hint="eastAsia" w:ascii="仿宋" w:hAnsi="仿宋" w:eastAsia="仿宋" w:cs="仿宋"/>
                <w:szCs w:val="28"/>
              </w:rPr>
              <w:t>王煦</w:t>
            </w:r>
          </w:p>
        </w:tc>
        <w:tc>
          <w:tcPr>
            <w:tcW w:w="1333" w:type="dxa"/>
            <w:vAlign w:val="center"/>
          </w:tcPr>
          <w:p w14:paraId="5A82AAAD">
            <w:pPr>
              <w:pStyle w:val="66"/>
              <w:adjustRightInd/>
              <w:rPr>
                <w:rFonts w:hint="eastAsia" w:ascii="仿宋" w:hAnsi="仿宋" w:eastAsia="仿宋" w:cs="仿宋"/>
              </w:rPr>
            </w:pPr>
            <w:r>
              <w:rPr>
                <w:rFonts w:hint="eastAsia" w:ascii="仿宋" w:hAnsi="仿宋" w:eastAsia="仿宋" w:cs="仿宋"/>
              </w:rPr>
              <w:t>组员</w:t>
            </w:r>
          </w:p>
        </w:tc>
        <w:tc>
          <w:tcPr>
            <w:tcW w:w="5188" w:type="dxa"/>
          </w:tcPr>
          <w:p w14:paraId="0E37F08F">
            <w:pPr>
              <w:pStyle w:val="66"/>
              <w:adjustRightInd/>
              <w:jc w:val="both"/>
              <w:rPr>
                <w:rFonts w:hint="eastAsia" w:ascii="仿宋" w:hAnsi="仿宋" w:eastAsia="仿宋" w:cs="仿宋"/>
              </w:rPr>
            </w:pPr>
            <w:r>
              <w:rPr>
                <w:rFonts w:hint="eastAsia" w:ascii="仿宋" w:hAnsi="仿宋" w:eastAsia="仿宋" w:cs="仿宋"/>
              </w:rPr>
              <w:t>受核查方基本信息、主要耗能设备、计量设备的核查，以及资料收集整理等；</w:t>
            </w:r>
          </w:p>
        </w:tc>
      </w:tr>
    </w:tbl>
    <w:p w14:paraId="6A1193FD">
      <w:pPr>
        <w:pStyle w:val="3"/>
        <w:spacing w:beforeLines="50" w:afterLines="50"/>
        <w:rPr>
          <w:rFonts w:hint="eastAsia" w:ascii="仿宋" w:hAnsi="仿宋" w:eastAsia="仿宋" w:cs="仿宋"/>
          <w:sz w:val="28"/>
          <w:szCs w:val="28"/>
        </w:rPr>
      </w:pPr>
      <w:bookmarkStart w:id="94" w:name="_Toc444196294"/>
      <w:bookmarkStart w:id="95" w:name="_Toc7642"/>
      <w:bookmarkStart w:id="96" w:name="_Toc18561"/>
      <w:bookmarkStart w:id="97" w:name="_Toc503300112"/>
      <w:bookmarkStart w:id="98" w:name="_Toc444197185"/>
      <w:bookmarkStart w:id="99" w:name="_Toc31307"/>
      <w:bookmarkStart w:id="100" w:name="_Toc21014"/>
      <w:bookmarkStart w:id="101" w:name="_Toc29371"/>
      <w:bookmarkStart w:id="102" w:name="_Toc5297"/>
      <w:bookmarkStart w:id="103" w:name="_Toc16249"/>
      <w:bookmarkStart w:id="104" w:name="_Toc25801_WPSOffice_Level2"/>
      <w:bookmarkStart w:id="105" w:name="_Toc15243"/>
      <w:bookmarkStart w:id="106" w:name="_Toc9257"/>
      <w:r>
        <w:rPr>
          <w:rFonts w:hint="eastAsia" w:ascii="仿宋" w:hAnsi="仿宋" w:eastAsia="仿宋" w:cs="仿宋"/>
          <w:sz w:val="28"/>
          <w:szCs w:val="28"/>
        </w:rPr>
        <w:t>2.2 文件评审</w:t>
      </w:r>
      <w:bookmarkEnd w:id="94"/>
      <w:bookmarkEnd w:id="95"/>
      <w:bookmarkEnd w:id="96"/>
      <w:bookmarkEnd w:id="97"/>
      <w:bookmarkEnd w:id="98"/>
      <w:bookmarkEnd w:id="99"/>
      <w:bookmarkEnd w:id="100"/>
      <w:bookmarkEnd w:id="101"/>
      <w:bookmarkEnd w:id="102"/>
      <w:bookmarkEnd w:id="103"/>
      <w:bookmarkEnd w:id="104"/>
      <w:bookmarkEnd w:id="105"/>
      <w:bookmarkEnd w:id="106"/>
    </w:p>
    <w:p w14:paraId="33D31481">
      <w:pPr>
        <w:rPr>
          <w:rFonts w:hint="eastAsia" w:ascii="仿宋" w:hAnsi="仿宋" w:eastAsia="仿宋" w:cs="仿宋"/>
          <w:szCs w:val="28"/>
        </w:rPr>
      </w:pPr>
      <w:r>
        <w:rPr>
          <w:rFonts w:hint="eastAsia" w:ascii="仿宋" w:hAnsi="仿宋" w:eastAsia="仿宋" w:cs="仿宋"/>
          <w:szCs w:val="28"/>
        </w:rPr>
        <w:t>核查组于2024年</w:t>
      </w:r>
      <w:r>
        <w:rPr>
          <w:rFonts w:hint="eastAsia" w:ascii="仿宋" w:hAnsi="仿宋" w:eastAsia="仿宋" w:cs="仿宋"/>
          <w:szCs w:val="28"/>
          <w:highlight w:val="none"/>
          <w:lang w:val="en-US" w:eastAsia="zh-CN"/>
        </w:rPr>
        <w:t>8</w:t>
      </w:r>
      <w:r>
        <w:rPr>
          <w:rFonts w:hint="eastAsia" w:ascii="仿宋" w:hAnsi="仿宋" w:eastAsia="仿宋" w:cs="仿宋"/>
          <w:szCs w:val="28"/>
          <w:highlight w:val="none"/>
        </w:rPr>
        <w:t>月</w:t>
      </w:r>
      <w:r>
        <w:rPr>
          <w:rFonts w:hint="eastAsia" w:ascii="仿宋" w:hAnsi="仿宋" w:eastAsia="仿宋" w:cs="仿宋"/>
          <w:szCs w:val="28"/>
          <w:highlight w:val="none"/>
          <w:lang w:val="en-US" w:eastAsia="zh-CN"/>
        </w:rPr>
        <w:t>2</w:t>
      </w:r>
      <w:r>
        <w:rPr>
          <w:rFonts w:hint="eastAsia" w:ascii="仿宋" w:hAnsi="仿宋" w:eastAsia="仿宋" w:cs="仿宋"/>
          <w:szCs w:val="28"/>
        </w:rPr>
        <w:t>日对受核查方提供的相关资料进行了文件评审。文件评审对象和内容包括：2023年企业基本信息、排放设施清单、排放源清单、监测设备清单、活动水平和排放因子的相关信息等。通过文件评审，核查组识别出如下现场评审的重点：</w:t>
      </w:r>
    </w:p>
    <w:p w14:paraId="3EA38589">
      <w:pPr>
        <w:rPr>
          <w:rFonts w:hint="eastAsia" w:ascii="仿宋" w:hAnsi="仿宋" w:eastAsia="仿宋" w:cs="仿宋"/>
          <w:szCs w:val="28"/>
        </w:rPr>
      </w:pPr>
      <w:r>
        <w:rPr>
          <w:rFonts w:hint="eastAsia" w:ascii="仿宋" w:hAnsi="仿宋" w:eastAsia="仿宋" w:cs="仿宋"/>
          <w:szCs w:val="28"/>
        </w:rPr>
        <w:t>（1）受核查方的核算边界、排放设施和排放源识别等；</w:t>
      </w:r>
    </w:p>
    <w:p w14:paraId="1639CCFE">
      <w:pPr>
        <w:rPr>
          <w:rFonts w:hint="eastAsia" w:ascii="仿宋" w:hAnsi="仿宋" w:eastAsia="仿宋" w:cs="仿宋"/>
          <w:szCs w:val="28"/>
        </w:rPr>
      </w:pPr>
      <w:r>
        <w:rPr>
          <w:rFonts w:hint="eastAsia" w:ascii="仿宋" w:hAnsi="仿宋" w:eastAsia="仿宋" w:cs="仿宋"/>
          <w:szCs w:val="28"/>
        </w:rPr>
        <w:t xml:space="preserve">（2）受核查方法人边界排放量相关的活动水平数据和参数的获取、记录、传递和汇总的信息流管理； </w:t>
      </w:r>
    </w:p>
    <w:p w14:paraId="76BE4E10">
      <w:pPr>
        <w:rPr>
          <w:rFonts w:hint="eastAsia" w:ascii="仿宋" w:hAnsi="仿宋" w:eastAsia="仿宋" w:cs="仿宋"/>
          <w:szCs w:val="28"/>
        </w:rPr>
      </w:pPr>
      <w:r>
        <w:rPr>
          <w:rFonts w:hint="eastAsia" w:ascii="仿宋" w:hAnsi="仿宋" w:eastAsia="仿宋" w:cs="仿宋"/>
          <w:szCs w:val="28"/>
        </w:rPr>
        <w:t>（3）核算方法和排放数据计算过程；</w:t>
      </w:r>
    </w:p>
    <w:p w14:paraId="622E3E11">
      <w:pPr>
        <w:rPr>
          <w:rFonts w:hint="eastAsia" w:ascii="仿宋" w:hAnsi="仿宋" w:eastAsia="仿宋" w:cs="仿宋"/>
          <w:szCs w:val="28"/>
        </w:rPr>
      </w:pPr>
      <w:r>
        <w:rPr>
          <w:rFonts w:hint="eastAsia" w:ascii="仿宋" w:hAnsi="仿宋" w:eastAsia="仿宋" w:cs="仿宋"/>
          <w:szCs w:val="28"/>
        </w:rPr>
        <w:t>（4）计量器具和监测设备的校准和维护情况；</w:t>
      </w:r>
    </w:p>
    <w:p w14:paraId="05FD2879">
      <w:pPr>
        <w:rPr>
          <w:rFonts w:hint="eastAsia" w:ascii="仿宋" w:hAnsi="仿宋" w:eastAsia="仿宋" w:cs="仿宋"/>
          <w:szCs w:val="28"/>
        </w:rPr>
      </w:pPr>
      <w:r>
        <w:rPr>
          <w:rFonts w:hint="eastAsia" w:ascii="仿宋" w:hAnsi="仿宋" w:eastAsia="仿宋" w:cs="仿宋"/>
          <w:szCs w:val="28"/>
        </w:rPr>
        <w:t>（5）质量保证和文件存档的核查；</w:t>
      </w:r>
    </w:p>
    <w:p w14:paraId="73E5A70C">
      <w:pPr>
        <w:rPr>
          <w:rFonts w:hint="eastAsia" w:ascii="仿宋" w:hAnsi="仿宋" w:eastAsia="仿宋" w:cs="仿宋"/>
          <w:szCs w:val="28"/>
        </w:rPr>
      </w:pPr>
      <w:r>
        <w:rPr>
          <w:rFonts w:hint="eastAsia" w:ascii="仿宋" w:hAnsi="仿宋" w:eastAsia="仿宋" w:cs="仿宋"/>
          <w:szCs w:val="28"/>
        </w:rPr>
        <w:t>受核查方提供的支持性材料及相关证明材料见本报告后“支持性文件清单”。</w:t>
      </w:r>
    </w:p>
    <w:p w14:paraId="608778C4">
      <w:pPr>
        <w:pStyle w:val="3"/>
        <w:spacing w:beforeLines="50" w:afterLines="50"/>
        <w:rPr>
          <w:rFonts w:hint="eastAsia" w:ascii="仿宋" w:hAnsi="仿宋" w:eastAsia="仿宋" w:cs="仿宋"/>
          <w:sz w:val="28"/>
          <w:szCs w:val="28"/>
        </w:rPr>
      </w:pPr>
      <w:bookmarkStart w:id="107" w:name="_Toc503300113"/>
      <w:bookmarkStart w:id="108" w:name="_Toc20162"/>
      <w:bookmarkStart w:id="109" w:name="_Toc30022"/>
      <w:bookmarkStart w:id="110" w:name="_Toc710"/>
      <w:bookmarkStart w:id="111" w:name="_Toc14539"/>
      <w:bookmarkStart w:id="112" w:name="_Toc20615"/>
      <w:bookmarkStart w:id="113" w:name="_Toc444197186"/>
      <w:bookmarkStart w:id="114" w:name="_Toc31036"/>
      <w:bookmarkStart w:id="115" w:name="_Toc16004"/>
      <w:bookmarkStart w:id="116" w:name="_Toc25022"/>
      <w:bookmarkStart w:id="117" w:name="_Toc23848"/>
      <w:bookmarkStart w:id="118" w:name="_Toc444196295"/>
      <w:bookmarkStart w:id="119" w:name="_Toc25485_WPSOffice_Level2"/>
      <w:r>
        <w:rPr>
          <w:rFonts w:hint="eastAsia" w:ascii="仿宋" w:hAnsi="仿宋" w:eastAsia="仿宋" w:cs="仿宋"/>
          <w:sz w:val="28"/>
          <w:szCs w:val="28"/>
        </w:rPr>
        <w:t>2.3 现场核查</w:t>
      </w:r>
      <w:bookmarkEnd w:id="107"/>
      <w:bookmarkEnd w:id="108"/>
      <w:bookmarkEnd w:id="109"/>
      <w:bookmarkEnd w:id="110"/>
      <w:bookmarkEnd w:id="111"/>
      <w:bookmarkEnd w:id="112"/>
      <w:bookmarkEnd w:id="113"/>
      <w:bookmarkEnd w:id="114"/>
      <w:bookmarkEnd w:id="115"/>
      <w:bookmarkEnd w:id="116"/>
      <w:bookmarkEnd w:id="117"/>
      <w:bookmarkEnd w:id="118"/>
      <w:bookmarkEnd w:id="119"/>
    </w:p>
    <w:p w14:paraId="6E995609">
      <w:pPr>
        <w:rPr>
          <w:rFonts w:hint="eastAsia" w:ascii="仿宋" w:hAnsi="仿宋" w:eastAsia="仿宋" w:cs="仿宋"/>
          <w:szCs w:val="28"/>
        </w:rPr>
      </w:pPr>
      <w:r>
        <w:rPr>
          <w:rFonts w:hint="eastAsia" w:ascii="仿宋" w:hAnsi="仿宋" w:eastAsia="仿宋" w:cs="仿宋"/>
          <w:szCs w:val="28"/>
        </w:rPr>
        <w:t>核查组于</w:t>
      </w:r>
      <w:r>
        <w:rPr>
          <w:rFonts w:hint="eastAsia" w:ascii="仿宋" w:hAnsi="仿宋" w:eastAsia="仿宋" w:cs="仿宋"/>
          <w:szCs w:val="28"/>
          <w:highlight w:val="none"/>
        </w:rPr>
        <w:t>2024年</w:t>
      </w:r>
      <w:r>
        <w:rPr>
          <w:rFonts w:hint="eastAsia" w:ascii="仿宋" w:hAnsi="仿宋" w:eastAsia="仿宋" w:cs="仿宋"/>
          <w:szCs w:val="28"/>
          <w:highlight w:val="none"/>
          <w:lang w:val="en-US" w:eastAsia="zh-CN"/>
        </w:rPr>
        <w:t>8</w:t>
      </w:r>
      <w:r>
        <w:rPr>
          <w:rFonts w:hint="eastAsia" w:ascii="仿宋" w:hAnsi="仿宋" w:eastAsia="仿宋" w:cs="仿宋"/>
          <w:szCs w:val="28"/>
          <w:highlight w:val="none"/>
        </w:rPr>
        <w:t>月</w:t>
      </w:r>
      <w:r>
        <w:rPr>
          <w:rFonts w:hint="eastAsia" w:ascii="仿宋" w:hAnsi="仿宋" w:eastAsia="仿宋" w:cs="仿宋"/>
          <w:szCs w:val="28"/>
          <w:highlight w:val="none"/>
          <w:lang w:val="en-US" w:eastAsia="zh-CN"/>
        </w:rPr>
        <w:t>4</w:t>
      </w:r>
      <w:r>
        <w:rPr>
          <w:rFonts w:hint="eastAsia" w:ascii="仿宋" w:hAnsi="仿宋" w:eastAsia="仿宋" w:cs="仿宋"/>
          <w:szCs w:val="28"/>
          <w:highlight w:val="none"/>
        </w:rPr>
        <w:t>日</w:t>
      </w:r>
      <w:r>
        <w:rPr>
          <w:rFonts w:hint="eastAsia" w:ascii="仿宋" w:hAnsi="仿宋" w:eastAsia="仿宋" w:cs="仿宋"/>
          <w:szCs w:val="28"/>
        </w:rPr>
        <w:t>对受核查方温室气体排放情况进行了现场核查。现场核查通过相关人员的访问、现场设施的抽样勘查、资料查阅、人员访谈等多种方式进行。现场主要访谈对象、部门及访谈内容如下表所示。</w:t>
      </w:r>
    </w:p>
    <w:p w14:paraId="1DE1AA98">
      <w:pPr>
        <w:ind w:firstLine="0" w:firstLineChars="0"/>
        <w:jc w:val="center"/>
        <w:rPr>
          <w:rFonts w:hint="eastAsia" w:ascii="仿宋" w:hAnsi="仿宋" w:eastAsia="仿宋" w:cs="仿宋"/>
          <w:b/>
          <w:szCs w:val="28"/>
        </w:rPr>
      </w:pPr>
      <w:bookmarkStart w:id="120" w:name="_Toc23566_WPSOffice_Level3"/>
      <w:bookmarkStart w:id="121" w:name="_Toc7390_WPSOffice_Level3"/>
      <w:bookmarkStart w:id="122" w:name="_Toc26229_WPSOffice_Level3"/>
      <w:bookmarkStart w:id="123" w:name="_Toc2297_WPSOffice_Level3"/>
      <w:bookmarkStart w:id="124" w:name="_Toc23218"/>
      <w:bookmarkStart w:id="125" w:name="_Toc444196296"/>
      <w:bookmarkStart w:id="126" w:name="_Toc444197187"/>
      <w:bookmarkStart w:id="127" w:name="_Toc17505"/>
      <w:bookmarkStart w:id="128" w:name="_Toc29035"/>
      <w:bookmarkStart w:id="129" w:name="_Toc25469"/>
      <w:r>
        <w:rPr>
          <w:rFonts w:hint="eastAsia" w:ascii="仿宋" w:hAnsi="仿宋" w:eastAsia="仿宋" w:cs="仿宋"/>
          <w:b/>
          <w:szCs w:val="28"/>
        </w:rPr>
        <w:t>表2-2 现场访问内容</w:t>
      </w:r>
      <w:bookmarkEnd w:id="120"/>
      <w:r>
        <w:rPr>
          <w:rFonts w:hint="eastAsia" w:ascii="仿宋" w:hAnsi="仿宋" w:eastAsia="仿宋" w:cs="仿宋"/>
          <w:b/>
          <w:szCs w:val="28"/>
        </w:rPr>
        <w:t>表</w:t>
      </w:r>
      <w:bookmarkEnd w:id="121"/>
      <w:bookmarkEnd w:id="122"/>
      <w:bookmarkEnd w:id="123"/>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6"/>
        <w:gridCol w:w="1276"/>
        <w:gridCol w:w="5979"/>
      </w:tblGrid>
      <w:tr w14:paraId="31078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pct"/>
            <w:tcBorders>
              <w:bottom w:val="single" w:color="auto" w:sz="4" w:space="0"/>
            </w:tcBorders>
            <w:tcMar>
              <w:left w:w="57" w:type="dxa"/>
              <w:right w:w="57" w:type="dxa"/>
            </w:tcMar>
            <w:vAlign w:val="center"/>
          </w:tcPr>
          <w:p w14:paraId="350239E4">
            <w:pPr>
              <w:widowControl/>
              <w:spacing w:line="240" w:lineRule="auto"/>
              <w:ind w:firstLine="0" w:firstLineChars="0"/>
              <w:jc w:val="center"/>
              <w:rPr>
                <w:rFonts w:hint="eastAsia" w:ascii="仿宋" w:hAnsi="仿宋" w:eastAsia="仿宋" w:cs="仿宋"/>
                <w:b/>
                <w:bCs/>
                <w:snapToGrid/>
                <w:sz w:val="24"/>
                <w:szCs w:val="21"/>
              </w:rPr>
            </w:pPr>
            <w:r>
              <w:rPr>
                <w:rFonts w:hint="eastAsia" w:ascii="仿宋" w:hAnsi="仿宋" w:eastAsia="仿宋" w:cs="仿宋"/>
                <w:b/>
                <w:bCs/>
                <w:snapToGrid/>
                <w:sz w:val="24"/>
                <w:szCs w:val="21"/>
              </w:rPr>
              <w:t>访谈对象</w:t>
            </w:r>
          </w:p>
        </w:tc>
        <w:tc>
          <w:tcPr>
            <w:tcW w:w="753" w:type="pct"/>
            <w:tcBorders>
              <w:bottom w:val="single" w:color="auto" w:sz="4" w:space="0"/>
            </w:tcBorders>
            <w:vAlign w:val="center"/>
          </w:tcPr>
          <w:p w14:paraId="1770C059">
            <w:pPr>
              <w:widowControl/>
              <w:spacing w:line="240" w:lineRule="auto"/>
              <w:ind w:firstLine="0" w:firstLineChars="0"/>
              <w:jc w:val="center"/>
              <w:rPr>
                <w:rFonts w:hint="eastAsia" w:ascii="仿宋" w:hAnsi="仿宋" w:eastAsia="仿宋" w:cs="仿宋"/>
                <w:b/>
                <w:bCs/>
                <w:snapToGrid/>
                <w:sz w:val="24"/>
                <w:szCs w:val="21"/>
              </w:rPr>
            </w:pPr>
            <w:r>
              <w:rPr>
                <w:rFonts w:hint="eastAsia" w:ascii="仿宋" w:hAnsi="仿宋" w:eastAsia="仿宋" w:cs="仿宋"/>
                <w:b/>
                <w:bCs/>
                <w:snapToGrid/>
                <w:sz w:val="24"/>
                <w:szCs w:val="21"/>
              </w:rPr>
              <w:t>部门/职位</w:t>
            </w:r>
          </w:p>
        </w:tc>
        <w:tc>
          <w:tcPr>
            <w:tcW w:w="3529" w:type="pct"/>
            <w:vAlign w:val="center"/>
          </w:tcPr>
          <w:p w14:paraId="5C646BC4">
            <w:pPr>
              <w:widowControl/>
              <w:spacing w:line="240" w:lineRule="auto"/>
              <w:ind w:firstLine="0" w:firstLineChars="0"/>
              <w:jc w:val="center"/>
              <w:rPr>
                <w:rFonts w:hint="eastAsia" w:ascii="仿宋" w:hAnsi="仿宋" w:eastAsia="仿宋" w:cs="仿宋"/>
                <w:b/>
                <w:bCs/>
                <w:snapToGrid/>
                <w:sz w:val="24"/>
                <w:szCs w:val="21"/>
              </w:rPr>
            </w:pPr>
            <w:r>
              <w:rPr>
                <w:rFonts w:hint="eastAsia" w:ascii="仿宋" w:hAnsi="仿宋" w:eastAsia="仿宋" w:cs="仿宋"/>
                <w:b/>
                <w:bCs/>
                <w:snapToGrid/>
                <w:sz w:val="24"/>
                <w:szCs w:val="21"/>
              </w:rPr>
              <w:t>访谈内容</w:t>
            </w:r>
          </w:p>
        </w:tc>
      </w:tr>
      <w:tr w14:paraId="6C303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4" w:hRule="atLeast"/>
          <w:jc w:val="center"/>
        </w:trPr>
        <w:tc>
          <w:tcPr>
            <w:tcW w:w="718" w:type="pct"/>
            <w:tcBorders>
              <w:top w:val="single" w:color="auto" w:sz="4" w:space="0"/>
              <w:left w:val="single" w:color="auto" w:sz="4" w:space="0"/>
              <w:bottom w:val="single" w:color="auto" w:sz="4" w:space="0"/>
            </w:tcBorders>
            <w:shd w:val="clear" w:color="auto" w:fill="auto"/>
            <w:vAlign w:val="center"/>
          </w:tcPr>
          <w:p w14:paraId="1438B989">
            <w:pPr>
              <w:widowControl/>
              <w:spacing w:line="240" w:lineRule="auto"/>
              <w:ind w:firstLine="0" w:firstLineChars="0"/>
              <w:jc w:val="center"/>
              <w:rPr>
                <w:rFonts w:hint="eastAsia" w:ascii="仿宋" w:hAnsi="仿宋" w:eastAsia="仿宋" w:cs="仿宋"/>
                <w:sz w:val="24"/>
                <w:szCs w:val="24"/>
                <w:highlight w:val="none"/>
              </w:rPr>
            </w:pPr>
            <w:r>
              <w:rPr>
                <w:rFonts w:hint="default" w:ascii="Times New Roman" w:hAnsi="Times New Roman" w:eastAsia="仿宋" w:cs="Times New Roman"/>
                <w:color w:val="000000"/>
                <w:kern w:val="0"/>
                <w:sz w:val="24"/>
                <w:highlight w:val="none"/>
              </w:rPr>
              <w:t>葛玉娟</w:t>
            </w:r>
          </w:p>
        </w:tc>
        <w:tc>
          <w:tcPr>
            <w:tcW w:w="753" w:type="pct"/>
            <w:tcBorders>
              <w:top w:val="single" w:color="auto" w:sz="4" w:space="0"/>
              <w:bottom w:val="single" w:color="auto" w:sz="4" w:space="0"/>
              <w:right w:val="single" w:color="auto" w:sz="4" w:space="0"/>
            </w:tcBorders>
            <w:shd w:val="clear" w:color="auto" w:fill="auto"/>
            <w:vAlign w:val="center"/>
          </w:tcPr>
          <w:p w14:paraId="35D7500D">
            <w:pPr>
              <w:widowControl/>
              <w:spacing w:line="240" w:lineRule="auto"/>
              <w:ind w:firstLine="0" w:firstLineChars="0"/>
              <w:jc w:val="center"/>
              <w:rPr>
                <w:rFonts w:hint="eastAsia" w:ascii="仿宋" w:hAnsi="仿宋" w:eastAsia="仿宋" w:cs="仿宋"/>
                <w:snapToGrid/>
                <w:sz w:val="24"/>
                <w:szCs w:val="21"/>
                <w:highlight w:val="none"/>
                <w:lang w:val="en-US" w:eastAsia="zh-CN"/>
              </w:rPr>
            </w:pPr>
            <w:r>
              <w:rPr>
                <w:rFonts w:hint="default" w:ascii="Times New Roman" w:hAnsi="Times New Roman" w:eastAsia="仿宋" w:cs="Times New Roman"/>
                <w:color w:val="000000"/>
                <w:kern w:val="0"/>
                <w:sz w:val="24"/>
                <w:szCs w:val="24"/>
                <w:highlight w:val="none"/>
                <w:lang w:val="en-US" w:eastAsia="zh-CN"/>
              </w:rPr>
              <w:t>安全科</w:t>
            </w:r>
            <w:r>
              <w:rPr>
                <w:rFonts w:hint="eastAsia" w:ascii="仿宋" w:hAnsi="仿宋" w:eastAsia="仿宋" w:cs="仿宋"/>
                <w:snapToGrid/>
                <w:sz w:val="24"/>
                <w:szCs w:val="21"/>
                <w:highlight w:val="none"/>
              </w:rPr>
              <w:t>/</w:t>
            </w:r>
            <w:r>
              <w:rPr>
                <w:rFonts w:hint="eastAsia" w:ascii="仿宋" w:hAnsi="仿宋" w:eastAsia="仿宋" w:cs="仿宋"/>
                <w:snapToGrid/>
                <w:sz w:val="24"/>
                <w:szCs w:val="21"/>
                <w:highlight w:val="none"/>
                <w:lang w:val="en-US" w:eastAsia="zh-CN"/>
              </w:rPr>
              <w:t>科长</w:t>
            </w:r>
          </w:p>
        </w:tc>
        <w:tc>
          <w:tcPr>
            <w:tcW w:w="3529" w:type="pct"/>
            <w:tcBorders>
              <w:left w:val="single" w:color="auto" w:sz="4" w:space="0"/>
            </w:tcBorders>
            <w:vAlign w:val="center"/>
          </w:tcPr>
          <w:p w14:paraId="0DDDD176">
            <w:pPr>
              <w:widowControl/>
              <w:spacing w:line="240" w:lineRule="auto"/>
              <w:ind w:firstLine="0" w:firstLineChars="0"/>
              <w:jc w:val="left"/>
              <w:rPr>
                <w:rFonts w:hint="eastAsia" w:ascii="仿宋" w:hAnsi="仿宋" w:eastAsia="仿宋" w:cs="仿宋"/>
                <w:snapToGrid/>
                <w:sz w:val="24"/>
                <w:szCs w:val="21"/>
              </w:rPr>
            </w:pPr>
            <w:r>
              <w:rPr>
                <w:rFonts w:hint="eastAsia" w:ascii="仿宋" w:hAnsi="仿宋" w:eastAsia="仿宋" w:cs="仿宋"/>
                <w:snapToGrid/>
                <w:sz w:val="24"/>
                <w:szCs w:val="21"/>
              </w:rPr>
              <w:t>1）了解企业基本情况、管理架构、生产工艺、生产运行情况，识别排放源和排放设施，确定企业层级和补充数据表的核算边界；</w:t>
            </w:r>
          </w:p>
          <w:p w14:paraId="52D0983D">
            <w:pPr>
              <w:widowControl/>
              <w:spacing w:line="240" w:lineRule="auto"/>
              <w:ind w:firstLine="0" w:firstLineChars="0"/>
              <w:jc w:val="left"/>
              <w:rPr>
                <w:rFonts w:hint="eastAsia" w:ascii="仿宋" w:hAnsi="仿宋" w:eastAsia="仿宋" w:cs="仿宋"/>
                <w:snapToGrid/>
                <w:sz w:val="24"/>
                <w:szCs w:val="21"/>
              </w:rPr>
            </w:pPr>
            <w:r>
              <w:rPr>
                <w:rFonts w:hint="eastAsia" w:ascii="仿宋" w:hAnsi="仿宋" w:eastAsia="仿宋" w:cs="仿宋"/>
                <w:snapToGrid/>
                <w:sz w:val="24"/>
                <w:szCs w:val="21"/>
              </w:rPr>
              <w:t>2）了解企业排放报告管理制度的建立情况。</w:t>
            </w:r>
          </w:p>
          <w:p w14:paraId="717FB4D7">
            <w:pPr>
              <w:widowControl/>
              <w:spacing w:line="240" w:lineRule="auto"/>
              <w:ind w:firstLine="0" w:firstLineChars="0"/>
              <w:jc w:val="left"/>
              <w:rPr>
                <w:rFonts w:hint="eastAsia" w:ascii="仿宋" w:hAnsi="仿宋" w:eastAsia="仿宋" w:cs="仿宋"/>
                <w:snapToGrid/>
                <w:sz w:val="24"/>
                <w:szCs w:val="21"/>
              </w:rPr>
            </w:pPr>
            <w:r>
              <w:rPr>
                <w:rFonts w:hint="eastAsia" w:ascii="仿宋" w:hAnsi="仿宋" w:eastAsia="仿宋" w:cs="仿宋"/>
                <w:snapToGrid/>
                <w:sz w:val="24"/>
                <w:szCs w:val="21"/>
              </w:rPr>
              <w:t>3）了解企业层级和补充数据表涉及的活动水平数据、相关参数和生产数据的监测、记录和统计等数据流管理过程，获取相关监测记录；</w:t>
            </w:r>
          </w:p>
          <w:p w14:paraId="7F09E0C8">
            <w:pPr>
              <w:widowControl/>
              <w:spacing w:line="240" w:lineRule="auto"/>
              <w:ind w:firstLine="0" w:firstLineChars="0"/>
              <w:jc w:val="left"/>
              <w:rPr>
                <w:rFonts w:hint="eastAsia" w:ascii="仿宋" w:hAnsi="仿宋" w:eastAsia="仿宋" w:cs="仿宋"/>
                <w:snapToGrid/>
                <w:sz w:val="24"/>
                <w:szCs w:val="21"/>
              </w:rPr>
            </w:pPr>
            <w:r>
              <w:rPr>
                <w:rFonts w:hint="eastAsia" w:ascii="仿宋" w:hAnsi="仿宋" w:eastAsia="仿宋" w:cs="仿宋"/>
                <w:snapToGrid/>
                <w:sz w:val="24"/>
                <w:szCs w:val="21"/>
              </w:rPr>
              <w:t>4）对企业材料中的相关数据和信息，进行核查。</w:t>
            </w:r>
          </w:p>
          <w:p w14:paraId="3F97B7F4">
            <w:pPr>
              <w:widowControl/>
              <w:spacing w:line="240" w:lineRule="auto"/>
              <w:ind w:firstLine="0" w:firstLineChars="0"/>
              <w:jc w:val="left"/>
              <w:rPr>
                <w:rFonts w:hint="eastAsia" w:ascii="仿宋" w:hAnsi="仿宋" w:eastAsia="仿宋" w:cs="仿宋"/>
                <w:snapToGrid/>
                <w:sz w:val="24"/>
                <w:szCs w:val="21"/>
              </w:rPr>
            </w:pPr>
            <w:r>
              <w:rPr>
                <w:rFonts w:hint="eastAsia" w:ascii="仿宋" w:hAnsi="仿宋" w:eastAsia="仿宋" w:cs="仿宋"/>
                <w:snapToGrid/>
                <w:sz w:val="24"/>
                <w:szCs w:val="21"/>
              </w:rPr>
              <w:t>5）对企业层级和补充数据表涉及的碳排放和生产数据相关的财务统计报表和结算凭证，进行核查。</w:t>
            </w:r>
          </w:p>
          <w:p w14:paraId="3C3648B0">
            <w:pPr>
              <w:widowControl/>
              <w:spacing w:line="240" w:lineRule="auto"/>
              <w:ind w:firstLine="0" w:firstLineChars="0"/>
              <w:jc w:val="left"/>
              <w:rPr>
                <w:rFonts w:hint="eastAsia" w:ascii="仿宋" w:hAnsi="仿宋" w:eastAsia="仿宋" w:cs="仿宋"/>
                <w:snapToGrid/>
                <w:sz w:val="24"/>
                <w:szCs w:val="21"/>
              </w:rPr>
            </w:pPr>
            <w:r>
              <w:rPr>
                <w:rFonts w:hint="eastAsia" w:ascii="仿宋" w:hAnsi="仿宋" w:eastAsia="仿宋" w:cs="仿宋"/>
                <w:snapToGrid/>
                <w:sz w:val="24"/>
                <w:szCs w:val="21"/>
              </w:rPr>
              <w:t>6）对排放设施和监测设备的安装/校验情况进行核查，现场查看排放设施、计量和检测设备。</w:t>
            </w:r>
          </w:p>
        </w:tc>
      </w:tr>
    </w:tbl>
    <w:p w14:paraId="10A58F8A">
      <w:pPr>
        <w:pStyle w:val="3"/>
        <w:spacing w:beforeLines="50" w:afterLines="50"/>
        <w:rPr>
          <w:rFonts w:hint="eastAsia" w:ascii="仿宋" w:hAnsi="仿宋" w:eastAsia="仿宋" w:cs="仿宋"/>
          <w:sz w:val="28"/>
          <w:szCs w:val="28"/>
        </w:rPr>
      </w:pPr>
      <w:bookmarkStart w:id="130" w:name="_Toc503300114"/>
      <w:bookmarkStart w:id="131" w:name="_Toc13535"/>
      <w:bookmarkStart w:id="132" w:name="_Toc9532"/>
      <w:bookmarkStart w:id="133" w:name="_Toc30678"/>
      <w:bookmarkStart w:id="134" w:name="_Toc28483"/>
      <w:bookmarkStart w:id="135" w:name="_Toc1457"/>
      <w:bookmarkStart w:id="136" w:name="_Toc386_WPSOffice_Level2"/>
      <w:r>
        <w:rPr>
          <w:rFonts w:hint="eastAsia" w:ascii="仿宋" w:hAnsi="仿宋" w:eastAsia="仿宋" w:cs="仿宋"/>
          <w:sz w:val="28"/>
          <w:szCs w:val="28"/>
        </w:rPr>
        <w:t>2.4 核查报告编写及内部技术复核</w:t>
      </w:r>
      <w:bookmarkEnd w:id="124"/>
      <w:bookmarkEnd w:id="125"/>
      <w:bookmarkEnd w:id="126"/>
      <w:bookmarkEnd w:id="127"/>
      <w:bookmarkEnd w:id="128"/>
      <w:bookmarkEnd w:id="129"/>
      <w:bookmarkEnd w:id="130"/>
      <w:bookmarkEnd w:id="131"/>
      <w:bookmarkEnd w:id="132"/>
      <w:bookmarkEnd w:id="133"/>
      <w:bookmarkEnd w:id="134"/>
      <w:bookmarkEnd w:id="135"/>
      <w:bookmarkEnd w:id="136"/>
    </w:p>
    <w:p w14:paraId="5A0DCA1B">
      <w:pPr>
        <w:rPr>
          <w:rFonts w:hint="eastAsia" w:ascii="仿宋" w:hAnsi="仿宋" w:eastAsia="仿宋" w:cs="仿宋"/>
          <w:szCs w:val="28"/>
        </w:rPr>
      </w:pPr>
      <w:r>
        <w:rPr>
          <w:rFonts w:hint="eastAsia" w:ascii="仿宋" w:hAnsi="仿宋" w:eastAsia="仿宋" w:cs="仿宋"/>
          <w:szCs w:val="28"/>
        </w:rPr>
        <w:t>核查组根据文件评审和现场核查的总结评价的结果，核查组于</w:t>
      </w:r>
      <w:r>
        <w:rPr>
          <w:rFonts w:hint="eastAsia" w:ascii="仿宋" w:hAnsi="仿宋" w:eastAsia="仿宋" w:cs="仿宋"/>
          <w:szCs w:val="28"/>
          <w:highlight w:val="none"/>
          <w:shd w:val="clear"/>
        </w:rPr>
        <w:t>2024年</w:t>
      </w:r>
      <w:r>
        <w:rPr>
          <w:rFonts w:hint="eastAsia" w:ascii="仿宋" w:hAnsi="仿宋" w:eastAsia="仿宋" w:cs="仿宋"/>
          <w:szCs w:val="28"/>
          <w:highlight w:val="none"/>
          <w:shd w:val="clear"/>
          <w:lang w:val="en-US" w:eastAsia="zh-CN"/>
        </w:rPr>
        <w:t>8</w:t>
      </w:r>
      <w:r>
        <w:rPr>
          <w:rFonts w:hint="eastAsia" w:ascii="仿宋" w:hAnsi="仿宋" w:eastAsia="仿宋" w:cs="仿宋"/>
          <w:szCs w:val="28"/>
          <w:highlight w:val="none"/>
          <w:shd w:val="clear"/>
        </w:rPr>
        <w:t>月2</w:t>
      </w:r>
      <w:r>
        <w:rPr>
          <w:rFonts w:hint="eastAsia" w:ascii="仿宋" w:hAnsi="仿宋" w:eastAsia="仿宋" w:cs="仿宋"/>
          <w:szCs w:val="28"/>
          <w:highlight w:val="none"/>
          <w:shd w:val="clear"/>
          <w:lang w:val="en-US" w:eastAsia="zh-CN"/>
        </w:rPr>
        <w:t>3</w:t>
      </w:r>
      <w:r>
        <w:rPr>
          <w:rFonts w:hint="eastAsia" w:ascii="仿宋" w:hAnsi="仿宋" w:eastAsia="仿宋" w:cs="仿宋"/>
          <w:szCs w:val="28"/>
          <w:highlight w:val="none"/>
          <w:shd w:val="clear"/>
        </w:rPr>
        <w:t>日</w:t>
      </w:r>
      <w:r>
        <w:rPr>
          <w:rFonts w:hint="eastAsia" w:ascii="仿宋" w:hAnsi="仿宋" w:eastAsia="仿宋" w:cs="仿宋"/>
          <w:szCs w:val="28"/>
        </w:rPr>
        <w:t>形成最终核查报告。</w:t>
      </w:r>
    </w:p>
    <w:p w14:paraId="4FAF2D8D">
      <w:pPr>
        <w:rPr>
          <w:rFonts w:hint="eastAsia" w:ascii="仿宋" w:hAnsi="仿宋" w:eastAsia="仿宋" w:cs="仿宋"/>
          <w:szCs w:val="28"/>
        </w:rPr>
      </w:pPr>
      <w:r>
        <w:rPr>
          <w:rFonts w:hint="eastAsia" w:ascii="仿宋" w:hAnsi="仿宋" w:eastAsia="仿宋" w:cs="仿宋"/>
          <w:szCs w:val="28"/>
        </w:rPr>
        <w:t>为保证核查质量，核查工作实施组长负责制、技术复核人复核制、质量管理委员会把关三级质量管理体系。即对每一个核查项目均执行三级质量校核程序，且实行质量控制前移的措施及时把控每一环节的核查质量。核查工作的第一负责人为核查组组长。核查组组长负责在核查过程中对核查组成员进行指导，并控制最终核查报告的质量；技术复核人（见表2-3）负责在最终核查报告提交给客户前控制最终核查报告的质量；质量管理委员会负责核查工作整体质量的把控，以及报告的批准工作。</w:t>
      </w:r>
    </w:p>
    <w:p w14:paraId="1D6D9469">
      <w:pPr>
        <w:ind w:firstLine="0" w:firstLineChars="0"/>
        <w:jc w:val="center"/>
        <w:rPr>
          <w:rFonts w:hint="eastAsia" w:ascii="仿宋" w:hAnsi="仿宋" w:eastAsia="仿宋" w:cs="仿宋"/>
          <w:b/>
          <w:szCs w:val="28"/>
        </w:rPr>
      </w:pPr>
      <w:bookmarkStart w:id="137" w:name="_Toc582_WPSOffice_Level3"/>
      <w:bookmarkStart w:id="138" w:name="_Toc31519_WPSOffice_Level3"/>
      <w:bookmarkStart w:id="139" w:name="_Toc19840_WPSOffice_Level3"/>
      <w:bookmarkStart w:id="140" w:name="_Toc24182_WPSOffice_Level3"/>
      <w:r>
        <w:rPr>
          <w:rFonts w:hint="eastAsia" w:ascii="仿宋" w:hAnsi="仿宋" w:eastAsia="仿宋" w:cs="仿宋"/>
          <w:b/>
          <w:szCs w:val="28"/>
        </w:rPr>
        <w:t>表2-3 技术复核组成员</w:t>
      </w:r>
      <w:bookmarkEnd w:id="137"/>
      <w:r>
        <w:rPr>
          <w:rFonts w:hint="eastAsia" w:ascii="仿宋" w:hAnsi="仿宋" w:eastAsia="仿宋" w:cs="仿宋"/>
          <w:b/>
          <w:szCs w:val="28"/>
        </w:rPr>
        <w:t>表</w:t>
      </w:r>
      <w:bookmarkEnd w:id="138"/>
      <w:bookmarkEnd w:id="139"/>
      <w:bookmarkEnd w:id="140"/>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557"/>
        <w:gridCol w:w="1470"/>
        <w:gridCol w:w="4843"/>
      </w:tblGrid>
      <w:tr w14:paraId="226A1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6" w:type="dxa"/>
            <w:vAlign w:val="center"/>
          </w:tcPr>
          <w:p w14:paraId="05C9D3DE">
            <w:pPr>
              <w:widowControl/>
              <w:spacing w:line="240" w:lineRule="auto"/>
              <w:ind w:firstLine="0" w:firstLineChars="0"/>
              <w:jc w:val="center"/>
              <w:rPr>
                <w:rFonts w:hint="eastAsia" w:ascii="仿宋" w:hAnsi="仿宋" w:eastAsia="仿宋" w:cs="仿宋"/>
                <w:b/>
                <w:bCs/>
                <w:snapToGrid/>
                <w:sz w:val="24"/>
                <w:szCs w:val="21"/>
              </w:rPr>
            </w:pPr>
            <w:r>
              <w:rPr>
                <w:rFonts w:hint="eastAsia" w:ascii="仿宋" w:hAnsi="仿宋" w:eastAsia="仿宋" w:cs="仿宋"/>
                <w:b/>
                <w:bCs/>
                <w:snapToGrid/>
                <w:sz w:val="24"/>
                <w:szCs w:val="21"/>
              </w:rPr>
              <w:t>序号</w:t>
            </w:r>
          </w:p>
        </w:tc>
        <w:tc>
          <w:tcPr>
            <w:tcW w:w="1557" w:type="dxa"/>
            <w:vAlign w:val="center"/>
          </w:tcPr>
          <w:p w14:paraId="46FD6BC4">
            <w:pPr>
              <w:widowControl/>
              <w:spacing w:line="240" w:lineRule="auto"/>
              <w:ind w:firstLine="0" w:firstLineChars="0"/>
              <w:jc w:val="center"/>
              <w:rPr>
                <w:rFonts w:hint="eastAsia" w:ascii="仿宋" w:hAnsi="仿宋" w:eastAsia="仿宋" w:cs="仿宋"/>
                <w:b/>
                <w:bCs/>
                <w:snapToGrid/>
                <w:sz w:val="24"/>
                <w:szCs w:val="21"/>
              </w:rPr>
            </w:pPr>
            <w:r>
              <w:rPr>
                <w:rFonts w:hint="eastAsia" w:ascii="仿宋" w:hAnsi="仿宋" w:eastAsia="仿宋" w:cs="仿宋"/>
                <w:b/>
                <w:bCs/>
                <w:snapToGrid/>
                <w:sz w:val="24"/>
                <w:szCs w:val="21"/>
              </w:rPr>
              <w:t>姓名</w:t>
            </w:r>
          </w:p>
        </w:tc>
        <w:tc>
          <w:tcPr>
            <w:tcW w:w="1470" w:type="dxa"/>
            <w:vAlign w:val="center"/>
          </w:tcPr>
          <w:p w14:paraId="2F4C2DFC">
            <w:pPr>
              <w:widowControl/>
              <w:spacing w:line="240" w:lineRule="auto"/>
              <w:ind w:firstLine="0" w:firstLineChars="0"/>
              <w:jc w:val="center"/>
              <w:rPr>
                <w:rFonts w:hint="eastAsia" w:ascii="仿宋" w:hAnsi="仿宋" w:eastAsia="仿宋" w:cs="仿宋"/>
                <w:b/>
                <w:bCs/>
                <w:snapToGrid/>
                <w:sz w:val="24"/>
                <w:szCs w:val="21"/>
              </w:rPr>
            </w:pPr>
            <w:r>
              <w:rPr>
                <w:rFonts w:hint="eastAsia" w:ascii="仿宋" w:hAnsi="仿宋" w:eastAsia="仿宋" w:cs="仿宋"/>
                <w:b/>
                <w:bCs/>
                <w:snapToGrid/>
                <w:sz w:val="24"/>
                <w:szCs w:val="21"/>
              </w:rPr>
              <w:t>职务</w:t>
            </w:r>
          </w:p>
        </w:tc>
        <w:tc>
          <w:tcPr>
            <w:tcW w:w="4843" w:type="dxa"/>
            <w:vAlign w:val="center"/>
          </w:tcPr>
          <w:p w14:paraId="37AA508F">
            <w:pPr>
              <w:widowControl/>
              <w:spacing w:line="240" w:lineRule="auto"/>
              <w:ind w:firstLine="0" w:firstLineChars="0"/>
              <w:jc w:val="center"/>
              <w:rPr>
                <w:rFonts w:hint="eastAsia" w:ascii="仿宋" w:hAnsi="仿宋" w:eastAsia="仿宋" w:cs="仿宋"/>
                <w:b/>
                <w:bCs/>
                <w:snapToGrid/>
                <w:sz w:val="24"/>
                <w:szCs w:val="21"/>
              </w:rPr>
            </w:pPr>
            <w:r>
              <w:rPr>
                <w:rFonts w:hint="eastAsia" w:ascii="仿宋" w:hAnsi="仿宋" w:eastAsia="仿宋" w:cs="仿宋"/>
                <w:b/>
                <w:bCs/>
                <w:snapToGrid/>
                <w:sz w:val="24"/>
                <w:szCs w:val="21"/>
              </w:rPr>
              <w:t>核查工作分工内容</w:t>
            </w:r>
          </w:p>
        </w:tc>
      </w:tr>
      <w:tr w14:paraId="26D45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6" w:type="dxa"/>
            <w:vAlign w:val="center"/>
          </w:tcPr>
          <w:p w14:paraId="281B4BFF">
            <w:pPr>
              <w:pStyle w:val="66"/>
              <w:adjustRightInd/>
              <w:rPr>
                <w:rFonts w:hint="eastAsia" w:ascii="仿宋" w:hAnsi="仿宋" w:eastAsia="仿宋" w:cs="仿宋"/>
                <w:szCs w:val="24"/>
              </w:rPr>
            </w:pPr>
            <w:r>
              <w:rPr>
                <w:rFonts w:hint="eastAsia" w:ascii="仿宋" w:hAnsi="仿宋" w:eastAsia="仿宋" w:cs="仿宋"/>
                <w:szCs w:val="24"/>
              </w:rPr>
              <w:t>1</w:t>
            </w:r>
          </w:p>
        </w:tc>
        <w:tc>
          <w:tcPr>
            <w:tcW w:w="1557" w:type="dxa"/>
            <w:vAlign w:val="center"/>
          </w:tcPr>
          <w:p w14:paraId="71B880BA">
            <w:pPr>
              <w:pStyle w:val="66"/>
              <w:adjustRightInd/>
              <w:rPr>
                <w:rFonts w:hint="eastAsia" w:ascii="仿宋" w:hAnsi="仿宋" w:eastAsia="仿宋" w:cs="仿宋"/>
                <w:szCs w:val="24"/>
              </w:rPr>
            </w:pPr>
            <w:r>
              <w:rPr>
                <w:rFonts w:hint="eastAsia" w:ascii="仿宋" w:hAnsi="仿宋" w:eastAsia="仿宋" w:cs="仿宋"/>
                <w:szCs w:val="24"/>
              </w:rPr>
              <w:t>李安冬</w:t>
            </w:r>
          </w:p>
        </w:tc>
        <w:tc>
          <w:tcPr>
            <w:tcW w:w="1470" w:type="dxa"/>
            <w:vAlign w:val="center"/>
          </w:tcPr>
          <w:p w14:paraId="524A4AEE">
            <w:pPr>
              <w:pStyle w:val="66"/>
              <w:adjustRightInd/>
              <w:rPr>
                <w:rFonts w:hint="eastAsia" w:ascii="仿宋" w:hAnsi="仿宋" w:eastAsia="仿宋" w:cs="仿宋"/>
                <w:szCs w:val="24"/>
              </w:rPr>
            </w:pPr>
            <w:r>
              <w:rPr>
                <w:rFonts w:hint="eastAsia" w:ascii="仿宋" w:hAnsi="仿宋" w:eastAsia="仿宋" w:cs="仿宋"/>
                <w:szCs w:val="24"/>
              </w:rPr>
              <w:t>技术评审员</w:t>
            </w:r>
          </w:p>
        </w:tc>
        <w:tc>
          <w:tcPr>
            <w:tcW w:w="4843" w:type="dxa"/>
            <w:vAlign w:val="center"/>
          </w:tcPr>
          <w:p w14:paraId="38E9E5CB">
            <w:pPr>
              <w:pStyle w:val="66"/>
              <w:adjustRightInd/>
              <w:rPr>
                <w:rFonts w:hint="eastAsia" w:ascii="仿宋" w:hAnsi="仿宋" w:eastAsia="仿宋" w:cs="仿宋"/>
                <w:szCs w:val="24"/>
              </w:rPr>
            </w:pPr>
            <w:r>
              <w:rPr>
                <w:rFonts w:hint="eastAsia" w:ascii="仿宋" w:hAnsi="仿宋" w:eastAsia="仿宋" w:cs="仿宋"/>
                <w:szCs w:val="24"/>
              </w:rPr>
              <w:t>独立于核查组，对本核查进行技术评审</w:t>
            </w:r>
          </w:p>
        </w:tc>
      </w:tr>
      <w:tr w14:paraId="7A8AF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6" w:type="dxa"/>
            <w:vAlign w:val="center"/>
          </w:tcPr>
          <w:p w14:paraId="27621EF0">
            <w:pPr>
              <w:pStyle w:val="66"/>
              <w:adjustRightInd/>
              <w:rPr>
                <w:rFonts w:hint="eastAsia" w:ascii="仿宋" w:hAnsi="仿宋" w:eastAsia="仿宋" w:cs="仿宋"/>
                <w:szCs w:val="24"/>
              </w:rPr>
            </w:pPr>
            <w:r>
              <w:rPr>
                <w:rFonts w:hint="eastAsia" w:ascii="仿宋" w:hAnsi="仿宋" w:eastAsia="仿宋" w:cs="仿宋"/>
                <w:szCs w:val="24"/>
              </w:rPr>
              <w:t>2</w:t>
            </w:r>
          </w:p>
        </w:tc>
        <w:tc>
          <w:tcPr>
            <w:tcW w:w="1557" w:type="dxa"/>
            <w:vAlign w:val="center"/>
          </w:tcPr>
          <w:p w14:paraId="6AE97D41">
            <w:pPr>
              <w:pStyle w:val="66"/>
              <w:adjustRightInd/>
              <w:rPr>
                <w:rFonts w:hint="eastAsia" w:ascii="仿宋" w:hAnsi="仿宋" w:eastAsia="仿宋" w:cs="仿宋"/>
                <w:szCs w:val="24"/>
              </w:rPr>
            </w:pPr>
            <w:r>
              <w:rPr>
                <w:rFonts w:hint="eastAsia" w:ascii="仿宋" w:hAnsi="仿宋" w:eastAsia="仿宋" w:cs="仿宋"/>
                <w:szCs w:val="24"/>
              </w:rPr>
              <w:t>李金鹏</w:t>
            </w:r>
          </w:p>
        </w:tc>
        <w:tc>
          <w:tcPr>
            <w:tcW w:w="1470" w:type="dxa"/>
            <w:vAlign w:val="center"/>
          </w:tcPr>
          <w:p w14:paraId="236666C2">
            <w:pPr>
              <w:pStyle w:val="66"/>
              <w:adjustRightInd/>
              <w:rPr>
                <w:rFonts w:hint="eastAsia" w:ascii="仿宋" w:hAnsi="仿宋" w:eastAsia="仿宋" w:cs="仿宋"/>
                <w:szCs w:val="24"/>
              </w:rPr>
            </w:pPr>
            <w:r>
              <w:rPr>
                <w:rFonts w:hint="eastAsia" w:ascii="仿宋" w:hAnsi="仿宋" w:eastAsia="仿宋" w:cs="仿宋"/>
                <w:szCs w:val="24"/>
              </w:rPr>
              <w:t>复核</w:t>
            </w:r>
          </w:p>
        </w:tc>
        <w:tc>
          <w:tcPr>
            <w:tcW w:w="4843" w:type="dxa"/>
            <w:vAlign w:val="center"/>
          </w:tcPr>
          <w:p w14:paraId="294886B6">
            <w:pPr>
              <w:pStyle w:val="66"/>
              <w:adjustRightInd/>
              <w:rPr>
                <w:rFonts w:hint="eastAsia" w:ascii="仿宋" w:hAnsi="仿宋" w:eastAsia="仿宋" w:cs="仿宋"/>
                <w:szCs w:val="24"/>
              </w:rPr>
            </w:pPr>
            <w:r>
              <w:rPr>
                <w:rFonts w:hint="eastAsia" w:ascii="仿宋" w:hAnsi="仿宋" w:eastAsia="仿宋" w:cs="仿宋"/>
                <w:szCs w:val="24"/>
              </w:rPr>
              <w:t>独立于核查组，对本核查进行技术评审</w:t>
            </w:r>
          </w:p>
        </w:tc>
      </w:tr>
      <w:bookmarkEnd w:id="89"/>
    </w:tbl>
    <w:p w14:paraId="3C1601F3">
      <w:pPr>
        <w:pStyle w:val="2"/>
        <w:jc w:val="left"/>
        <w:rPr>
          <w:rFonts w:hint="eastAsia" w:ascii="仿宋" w:hAnsi="仿宋" w:eastAsia="仿宋" w:cs="仿宋"/>
          <w:sz w:val="28"/>
          <w:szCs w:val="28"/>
        </w:rPr>
        <w:sectPr>
          <w:headerReference r:id="rId14" w:type="default"/>
          <w:footerReference r:id="rId15" w:type="default"/>
          <w:pgSz w:w="11906" w:h="16838"/>
          <w:pgMar w:top="1440" w:right="1800" w:bottom="1440" w:left="1800" w:header="851" w:footer="992" w:gutter="0"/>
          <w:cols w:space="720" w:num="1"/>
          <w:docGrid w:type="lines" w:linePitch="312" w:charSpace="0"/>
        </w:sectPr>
      </w:pPr>
      <w:bookmarkStart w:id="141" w:name="_Toc2207"/>
      <w:bookmarkStart w:id="142" w:name="_Toc444196297"/>
      <w:bookmarkStart w:id="143" w:name="_Toc503300115"/>
      <w:bookmarkStart w:id="144" w:name="_Toc15421"/>
      <w:bookmarkStart w:id="145" w:name="_Toc30287"/>
      <w:bookmarkStart w:id="146" w:name="_Toc4140"/>
      <w:bookmarkStart w:id="147" w:name="_Toc1661"/>
      <w:bookmarkStart w:id="148" w:name="_Toc31967"/>
      <w:bookmarkStart w:id="149" w:name="_Toc14518_WPSOffice_Level1"/>
      <w:bookmarkStart w:id="150" w:name="_Toc444197188"/>
      <w:bookmarkStart w:id="151" w:name="_Toc31302"/>
      <w:bookmarkStart w:id="152" w:name="_Toc23439"/>
    </w:p>
    <w:p w14:paraId="490DF095">
      <w:pPr>
        <w:pStyle w:val="2"/>
        <w:jc w:val="left"/>
        <w:rPr>
          <w:rFonts w:hint="eastAsia" w:ascii="仿宋" w:hAnsi="仿宋" w:eastAsia="仿宋" w:cs="仿宋"/>
        </w:rPr>
      </w:pPr>
      <w:bookmarkStart w:id="153" w:name="_Toc16186"/>
      <w:r>
        <w:rPr>
          <w:rFonts w:hint="eastAsia" w:ascii="仿宋" w:hAnsi="仿宋" w:eastAsia="仿宋" w:cs="仿宋"/>
          <w:sz w:val="28"/>
          <w:szCs w:val="28"/>
        </w:rPr>
        <w:t>3 核查发现</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1F1F0C31">
      <w:pPr>
        <w:pStyle w:val="3"/>
        <w:spacing w:beforeLines="50" w:afterLines="50"/>
        <w:rPr>
          <w:rFonts w:hint="eastAsia" w:ascii="仿宋" w:hAnsi="仿宋" w:eastAsia="仿宋" w:cs="仿宋"/>
          <w:sz w:val="28"/>
          <w:szCs w:val="28"/>
        </w:rPr>
      </w:pPr>
      <w:bookmarkStart w:id="154" w:name="_Toc32452"/>
      <w:bookmarkStart w:id="155" w:name="_Toc8193"/>
      <w:bookmarkStart w:id="156" w:name="_Toc24166"/>
      <w:bookmarkStart w:id="157" w:name="_Toc11551"/>
      <w:bookmarkStart w:id="158" w:name="_Toc1933"/>
      <w:bookmarkStart w:id="159" w:name="_Toc15008"/>
      <w:bookmarkStart w:id="160" w:name="_Toc444197189"/>
      <w:bookmarkStart w:id="161" w:name="_Toc11355"/>
      <w:bookmarkStart w:id="162" w:name="_Toc444196298"/>
      <w:bookmarkStart w:id="163" w:name="_Toc4786_WPSOffice_Level2"/>
      <w:bookmarkStart w:id="164" w:name="_Toc27011"/>
      <w:bookmarkStart w:id="165" w:name="_Toc503300116"/>
      <w:bookmarkStart w:id="166" w:name="_Toc26608"/>
      <w:r>
        <w:rPr>
          <w:rFonts w:hint="eastAsia" w:ascii="仿宋" w:hAnsi="仿宋" w:eastAsia="仿宋" w:cs="仿宋"/>
          <w:sz w:val="28"/>
          <w:szCs w:val="28"/>
        </w:rPr>
        <w:t>3.1 基本情况的核查</w:t>
      </w:r>
      <w:bookmarkEnd w:id="154"/>
      <w:bookmarkEnd w:id="155"/>
      <w:bookmarkEnd w:id="156"/>
      <w:bookmarkEnd w:id="157"/>
      <w:bookmarkEnd w:id="158"/>
      <w:bookmarkEnd w:id="159"/>
      <w:bookmarkEnd w:id="160"/>
      <w:bookmarkEnd w:id="161"/>
      <w:bookmarkEnd w:id="162"/>
      <w:bookmarkEnd w:id="163"/>
      <w:bookmarkEnd w:id="164"/>
      <w:bookmarkEnd w:id="165"/>
      <w:bookmarkEnd w:id="166"/>
    </w:p>
    <w:p w14:paraId="28EDE02B">
      <w:pPr>
        <w:pStyle w:val="4"/>
        <w:spacing w:beforeLines="50" w:afterLines="50"/>
        <w:rPr>
          <w:rFonts w:hint="eastAsia" w:ascii="仿宋" w:hAnsi="仿宋" w:eastAsia="仿宋" w:cs="仿宋"/>
          <w:szCs w:val="28"/>
        </w:rPr>
      </w:pPr>
      <w:bookmarkStart w:id="167" w:name="_Toc14921"/>
      <w:bookmarkStart w:id="168" w:name="_Toc8886"/>
      <w:bookmarkStart w:id="169" w:name="_Toc22100_WPSOffice_Level3"/>
      <w:bookmarkStart w:id="170" w:name="_Toc17919"/>
      <w:bookmarkStart w:id="171" w:name="_Toc444197190"/>
      <w:bookmarkStart w:id="172" w:name="_Toc21035"/>
      <w:bookmarkStart w:id="173" w:name="_Toc14875"/>
      <w:bookmarkStart w:id="174" w:name="_Toc444196299"/>
      <w:bookmarkStart w:id="175" w:name="_Toc503300117"/>
      <w:r>
        <w:rPr>
          <w:rFonts w:hint="eastAsia" w:ascii="仿宋" w:hAnsi="仿宋" w:eastAsia="仿宋" w:cs="仿宋"/>
          <w:szCs w:val="28"/>
        </w:rPr>
        <w:t>3.1.1 受核查方简介和组织机构</w:t>
      </w:r>
      <w:bookmarkEnd w:id="167"/>
      <w:bookmarkEnd w:id="168"/>
      <w:bookmarkEnd w:id="169"/>
      <w:bookmarkEnd w:id="170"/>
      <w:bookmarkEnd w:id="171"/>
      <w:bookmarkEnd w:id="172"/>
      <w:bookmarkEnd w:id="173"/>
      <w:bookmarkEnd w:id="174"/>
      <w:bookmarkEnd w:id="175"/>
      <w:r>
        <w:rPr>
          <w:rFonts w:hint="eastAsia" w:ascii="仿宋" w:hAnsi="仿宋" w:eastAsia="仿宋" w:cs="仿宋"/>
          <w:szCs w:val="28"/>
        </w:rPr>
        <w:tab/>
      </w:r>
    </w:p>
    <w:p w14:paraId="1DD1EFAF">
      <w:pPr>
        <w:pStyle w:val="78"/>
        <w:spacing w:line="360" w:lineRule="auto"/>
        <w:ind w:firstLine="560" w:firstLineChars="200"/>
        <w:rPr>
          <w:rFonts w:hint="eastAsia" w:ascii="仿宋" w:hAnsi="仿宋" w:eastAsia="仿宋" w:cs="仿宋"/>
          <w:sz w:val="28"/>
          <w:szCs w:val="24"/>
        </w:rPr>
      </w:pPr>
      <w:r>
        <w:rPr>
          <w:rFonts w:hint="eastAsia" w:ascii="仿宋" w:hAnsi="仿宋" w:eastAsia="仿宋" w:cs="仿宋"/>
          <w:sz w:val="28"/>
          <w:szCs w:val="24"/>
        </w:rPr>
        <w:t>核查组通过查阅受核查方的法人营业执照、公司简介和组织架构图等相关信息，并与企业负责人进行交流访谈，确认如下信息：</w:t>
      </w:r>
    </w:p>
    <w:p w14:paraId="4F206E72">
      <w:pPr>
        <w:shd w:val="clear" w:color="auto"/>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郯城众一科环化工有限公司成立于2013年，</w:t>
      </w:r>
      <w:r>
        <w:rPr>
          <w:rFonts w:hint="eastAsia" w:ascii="仿宋" w:hAnsi="仿宋" w:eastAsia="仿宋" w:cs="仿宋"/>
          <w:sz w:val="28"/>
          <w:szCs w:val="28"/>
          <w:shd w:val="clear"/>
          <w:lang w:val="en-US" w:eastAsia="zh-CN"/>
        </w:rPr>
        <w:t>企业</w:t>
      </w:r>
      <w:r>
        <w:rPr>
          <w:rFonts w:hint="eastAsia" w:ascii="仿宋" w:hAnsi="仿宋" w:eastAsia="仿宋" w:cs="仿宋"/>
          <w:sz w:val="28"/>
          <w:szCs w:val="28"/>
        </w:rPr>
        <w:t>位于红色革命老区沂蒙革命根据地临沂市郯城县的省级化工园区内。</w:t>
      </w:r>
      <w:r>
        <w:rPr>
          <w:rFonts w:hint="eastAsia" w:ascii="仿宋" w:hAnsi="仿宋" w:eastAsia="仿宋" w:cs="仿宋"/>
          <w:sz w:val="28"/>
          <w:szCs w:val="28"/>
          <w:lang w:val="en-US" w:eastAsia="zh-CN"/>
        </w:rPr>
        <w:t>企业</w:t>
      </w:r>
      <w:r>
        <w:rPr>
          <w:rFonts w:hint="eastAsia" w:ascii="仿宋" w:hAnsi="仿宋" w:eastAsia="仿宋" w:cs="仿宋"/>
          <w:sz w:val="28"/>
          <w:szCs w:val="28"/>
        </w:rPr>
        <w:t>占地约8万平方米，注册资本1000万元，总投资1.5亿元人民币，在岗员工一百多人。</w:t>
      </w:r>
      <w:r>
        <w:rPr>
          <w:rFonts w:hint="eastAsia" w:ascii="仿宋" w:hAnsi="仿宋" w:eastAsia="仿宋" w:cs="仿宋"/>
          <w:sz w:val="28"/>
          <w:szCs w:val="28"/>
          <w:shd w:val="clear"/>
          <w:lang w:val="en-US" w:eastAsia="zh-CN"/>
        </w:rPr>
        <w:t>企业</w:t>
      </w:r>
      <w:r>
        <w:rPr>
          <w:rFonts w:hint="eastAsia" w:ascii="仿宋" w:hAnsi="仿宋" w:eastAsia="仿宋" w:cs="仿宋"/>
          <w:sz w:val="28"/>
          <w:szCs w:val="28"/>
        </w:rPr>
        <w:t>现为国家高新技术企业，二级标准化企业，专、精、特、新中小企业，郯城县重点企业。</w:t>
      </w:r>
    </w:p>
    <w:p w14:paraId="7EB07EDF">
      <w:pPr>
        <w:pStyle w:val="78"/>
        <w:spacing w:line="360" w:lineRule="auto"/>
        <w:ind w:firstLine="560" w:firstLineChars="200"/>
        <w:rPr>
          <w:rFonts w:hint="eastAsia" w:ascii="仿宋" w:hAnsi="仿宋" w:eastAsia="仿宋" w:cs="仿宋"/>
          <w:sz w:val="24"/>
          <w:szCs w:val="24"/>
        </w:rPr>
      </w:pPr>
      <w:r>
        <w:rPr>
          <w:rFonts w:hint="eastAsia" w:ascii="仿宋" w:hAnsi="仿宋" w:eastAsia="仿宋" w:cs="仿宋"/>
          <w:sz w:val="28"/>
          <w:szCs w:val="28"/>
        </w:rPr>
        <w:t> </w:t>
      </w:r>
      <w:r>
        <w:rPr>
          <w:rFonts w:hint="eastAsia" w:ascii="仿宋" w:hAnsi="仿宋" w:eastAsia="仿宋" w:cs="仿宋"/>
          <w:sz w:val="28"/>
          <w:szCs w:val="28"/>
          <w:shd w:val="clear"/>
          <w:lang w:val="en-US" w:eastAsia="zh-CN"/>
        </w:rPr>
        <w:t>企业</w:t>
      </w:r>
      <w:r>
        <w:rPr>
          <w:rFonts w:hint="eastAsia" w:ascii="仿宋" w:hAnsi="仿宋" w:eastAsia="仿宋" w:cs="仿宋"/>
          <w:sz w:val="28"/>
          <w:szCs w:val="28"/>
        </w:rPr>
        <w:t>坚持自主创新、走产学研相结合的发展道路，注重研发投入，先后取得2项发明专利，8项实用新型专利。</w:t>
      </w:r>
      <w:r>
        <w:rPr>
          <w:rFonts w:hint="eastAsia" w:ascii="仿宋" w:hAnsi="仿宋" w:eastAsia="仿宋" w:cs="仿宋"/>
          <w:sz w:val="28"/>
          <w:szCs w:val="28"/>
          <w:lang w:val="en-US" w:eastAsia="zh-CN"/>
        </w:rPr>
        <w:t>企业</w:t>
      </w:r>
      <w:r>
        <w:rPr>
          <w:rFonts w:hint="eastAsia" w:ascii="仿宋" w:hAnsi="仿宋" w:eastAsia="仿宋" w:cs="仿宋"/>
          <w:sz w:val="28"/>
          <w:szCs w:val="28"/>
        </w:rPr>
        <w:t>通过ISO9001质量管理体系、ISO45001职业健康安全管理体系认证、信用等级三A认证。</w:t>
      </w:r>
      <w:r>
        <w:rPr>
          <w:rFonts w:hint="eastAsia" w:ascii="仿宋" w:hAnsi="仿宋" w:eastAsia="仿宋" w:cs="仿宋"/>
          <w:sz w:val="28"/>
          <w:szCs w:val="28"/>
          <w:lang w:val="en-US" w:eastAsia="zh-CN"/>
        </w:rPr>
        <w:t>企业</w:t>
      </w:r>
      <w:r>
        <w:rPr>
          <w:rFonts w:hint="eastAsia" w:ascii="仿宋" w:hAnsi="仿宋" w:eastAsia="仿宋" w:cs="仿宋"/>
          <w:sz w:val="28"/>
          <w:szCs w:val="28"/>
        </w:rPr>
        <w:t xml:space="preserve">多年致力于产业，切实推进与各企业合作，用产业化发展思路服务于社会和用户。 </w:t>
      </w:r>
      <w:r>
        <w:rPr>
          <w:rFonts w:hint="eastAsia" w:ascii="仿宋" w:hAnsi="仿宋" w:eastAsia="仿宋" w:cs="仿宋"/>
          <w:sz w:val="24"/>
          <w:szCs w:val="24"/>
        </w:rPr>
        <w:t xml:space="preserve"> </w:t>
      </w:r>
    </w:p>
    <w:p w14:paraId="7141020F">
      <w:pPr>
        <w:shd w:val="clear" w:color="auto" w:fill="FFFFFF" w:themeFill="background1"/>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郯城众一科环化工有限公司成立于2013年，位于山东省临沂市郯城县经济开发区新源路16号，总占地面积115亩，总投资1.5亿元人民币。现有员工一百余人，其中专科以上学历人员占75%以上，现拥有注册安全工程师6名，产品市场占有率省内排名第一，全国排名第二，年纳税额超一千万元。目前公司产品有:亚磷酸、氯乙烷、氯甲烷 、盐酸(副产)、 环保溶剂类产品等11种产品，总产能突破6万吨。公司坚持自主创新、走产学研相结合的发展道路，注重研发投入，已取得7项发明专利，20项实用新型专利、软件著作2件、省技术创新成果奖6件、商标权3件。公司通过ISO9001质量管理体系、ISO45001职业健康安全管理体系认证、信用等级三A认证。现为国家高新技术企业、省二级标准化企业、省“专、精、特、新”中小企业、郯城县重点企业、临沂市节水型企业、临沂市工业企业“一企一技术”中心、临沂市企业技术中心、郯城县慈善精英企业、临沂市工人先锋号等等</w:t>
      </w:r>
      <w:r>
        <w:rPr>
          <w:rFonts w:hint="eastAsia" w:ascii="仿宋" w:hAnsi="仿宋" w:eastAsia="仿宋" w:cs="仿宋"/>
          <w:sz w:val="28"/>
          <w:szCs w:val="28"/>
          <w:lang w:eastAsia="zh-CN"/>
        </w:rPr>
        <w:t>。</w:t>
      </w:r>
    </w:p>
    <w:p w14:paraId="5E5D6B29">
      <w:pPr>
        <w:pStyle w:val="78"/>
        <w:spacing w:line="360" w:lineRule="auto"/>
        <w:ind w:firstLine="480" w:firstLineChars="200"/>
        <w:rPr>
          <w:rFonts w:hint="eastAsia" w:ascii="仿宋" w:hAnsi="仿宋" w:eastAsia="仿宋" w:cs="仿宋"/>
          <w:sz w:val="24"/>
          <w:szCs w:val="24"/>
        </w:rPr>
      </w:pPr>
    </w:p>
    <w:p w14:paraId="56C9A551">
      <w:pPr>
        <w:ind w:firstLine="0" w:firstLineChars="0"/>
        <w:jc w:val="center"/>
        <w:rPr>
          <w:rFonts w:hint="eastAsia" w:ascii="仿宋" w:hAnsi="仿宋" w:eastAsia="仿宋" w:cs="仿宋"/>
          <w:b/>
          <w:szCs w:val="28"/>
        </w:rPr>
      </w:pPr>
      <w:bookmarkStart w:id="176" w:name="_Toc26975_WPSOffice_Level3"/>
      <w:bookmarkStart w:id="177" w:name="_Toc17618_WPSOffice_Level3"/>
      <w:bookmarkStart w:id="178" w:name="_Toc32334_WPSOffice_Level3"/>
      <w:bookmarkStart w:id="179" w:name="_Toc4866_WPSOffice_Level3"/>
      <w:r>
        <w:rPr>
          <w:rFonts w:hint="eastAsia" w:ascii="仿宋" w:hAnsi="仿宋" w:eastAsia="仿宋" w:cs="仿宋"/>
          <w:b/>
          <w:szCs w:val="28"/>
        </w:rPr>
        <w:t>表3-1 受核查方基本信息表</w:t>
      </w:r>
      <w:bookmarkEnd w:id="176"/>
      <w:bookmarkEnd w:id="177"/>
      <w:bookmarkEnd w:id="178"/>
      <w:bookmarkEnd w:id="179"/>
    </w:p>
    <w:tbl>
      <w:tblPr>
        <w:tblStyle w:val="27"/>
        <w:tblW w:w="0" w:type="auto"/>
        <w:jc w:val="center"/>
        <w:tblBorders>
          <w:top w:val="single" w:color="00739B" w:sz="8"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1295"/>
        <w:gridCol w:w="715"/>
        <w:gridCol w:w="856"/>
        <w:gridCol w:w="715"/>
        <w:gridCol w:w="1629"/>
        <w:gridCol w:w="1080"/>
        <w:gridCol w:w="2317"/>
      </w:tblGrid>
      <w:tr w14:paraId="687C9154">
        <w:tblPrEx>
          <w:tblBorders>
            <w:top w:val="single" w:color="00739B" w:sz="8"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97" w:hRule="atLeast"/>
          <w:jc w:val="center"/>
        </w:trPr>
        <w:tc>
          <w:tcPr>
            <w:tcW w:w="1295"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40B57F2B">
            <w:pPr>
              <w:pStyle w:val="66"/>
              <w:rPr>
                <w:rFonts w:hint="eastAsia" w:ascii="仿宋" w:hAnsi="仿宋" w:eastAsia="仿宋" w:cs="仿宋"/>
                <w:szCs w:val="24"/>
              </w:rPr>
            </w:pPr>
            <w:r>
              <w:rPr>
                <w:rFonts w:hint="eastAsia" w:ascii="仿宋" w:hAnsi="仿宋" w:eastAsia="仿宋" w:cs="仿宋"/>
                <w:szCs w:val="24"/>
              </w:rPr>
              <w:t>受核查方</w:t>
            </w:r>
          </w:p>
        </w:tc>
        <w:tc>
          <w:tcPr>
            <w:tcW w:w="3915" w:type="dxa"/>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0414C2AF">
            <w:pPr>
              <w:pStyle w:val="66"/>
              <w:rPr>
                <w:rFonts w:hint="eastAsia" w:ascii="仿宋" w:hAnsi="仿宋" w:eastAsia="仿宋" w:cs="仿宋"/>
                <w:szCs w:val="24"/>
              </w:rPr>
            </w:pPr>
            <w:r>
              <w:rPr>
                <w:rFonts w:hint="default" w:ascii="Times New Roman" w:hAnsi="Times New Roman" w:eastAsia="仿宋" w:cs="Times New Roman"/>
                <w:sz w:val="24"/>
                <w:szCs w:val="24"/>
                <w:highlight w:val="none"/>
              </w:rPr>
              <w:t>郯城众一科环化工有限公司</w:t>
            </w: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04A3F9F7">
            <w:pPr>
              <w:pStyle w:val="66"/>
              <w:rPr>
                <w:rFonts w:hint="eastAsia" w:ascii="仿宋" w:hAnsi="仿宋" w:eastAsia="仿宋" w:cs="仿宋"/>
                <w:szCs w:val="24"/>
              </w:rPr>
            </w:pPr>
            <w:r>
              <w:rPr>
                <w:rFonts w:hint="eastAsia" w:ascii="仿宋" w:hAnsi="仿宋" w:eastAsia="仿宋" w:cs="仿宋"/>
                <w:szCs w:val="24"/>
              </w:rPr>
              <w:t>统一社会</w:t>
            </w:r>
          </w:p>
          <w:p w14:paraId="03F6821F">
            <w:pPr>
              <w:pStyle w:val="66"/>
              <w:rPr>
                <w:rFonts w:hint="eastAsia" w:ascii="仿宋" w:hAnsi="仿宋" w:eastAsia="仿宋" w:cs="仿宋"/>
                <w:szCs w:val="24"/>
              </w:rPr>
            </w:pPr>
            <w:r>
              <w:rPr>
                <w:rFonts w:hint="eastAsia" w:ascii="仿宋" w:hAnsi="仿宋" w:eastAsia="仿宋" w:cs="仿宋"/>
                <w:szCs w:val="24"/>
              </w:rPr>
              <w:t>信用代码</w:t>
            </w:r>
          </w:p>
        </w:tc>
        <w:tc>
          <w:tcPr>
            <w:tcW w:w="2316"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09274591">
            <w:pPr>
              <w:pStyle w:val="66"/>
              <w:rPr>
                <w:rFonts w:hint="eastAsia" w:ascii="仿宋" w:hAnsi="仿宋" w:eastAsia="仿宋" w:cs="仿宋"/>
                <w:szCs w:val="24"/>
              </w:rPr>
            </w:pPr>
            <w:r>
              <w:rPr>
                <w:rFonts w:hint="eastAsia" w:ascii="仿宋" w:hAnsi="仿宋" w:eastAsia="仿宋" w:cs="仿宋"/>
                <w:szCs w:val="24"/>
              </w:rPr>
              <w:t>913713220673512192</w:t>
            </w:r>
          </w:p>
        </w:tc>
      </w:tr>
      <w:tr w14:paraId="30309757">
        <w:tblPrEx>
          <w:tblBorders>
            <w:top w:val="single" w:color="00739B" w:sz="8"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97" w:hRule="atLeast"/>
          <w:jc w:val="center"/>
        </w:trPr>
        <w:tc>
          <w:tcPr>
            <w:tcW w:w="1295"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504A7EC8">
            <w:pPr>
              <w:pStyle w:val="66"/>
              <w:rPr>
                <w:rFonts w:hint="eastAsia" w:ascii="仿宋" w:hAnsi="仿宋" w:eastAsia="仿宋" w:cs="仿宋"/>
                <w:szCs w:val="24"/>
              </w:rPr>
            </w:pPr>
            <w:r>
              <w:rPr>
                <w:rFonts w:hint="eastAsia" w:ascii="仿宋" w:hAnsi="仿宋" w:eastAsia="仿宋" w:cs="仿宋"/>
                <w:szCs w:val="24"/>
              </w:rPr>
              <w:t>法定代表人</w:t>
            </w:r>
          </w:p>
        </w:tc>
        <w:tc>
          <w:tcPr>
            <w:tcW w:w="3915" w:type="dxa"/>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233E3564">
            <w:pPr>
              <w:pStyle w:val="66"/>
              <w:rPr>
                <w:rFonts w:hint="default" w:ascii="仿宋" w:hAnsi="仿宋" w:eastAsia="仿宋" w:cs="仿宋"/>
                <w:szCs w:val="24"/>
                <w:lang w:val="en-US" w:eastAsia="zh-CN"/>
              </w:rPr>
            </w:pPr>
            <w:r>
              <w:rPr>
                <w:rFonts w:hint="eastAsia" w:ascii="仿宋" w:hAnsi="仿宋" w:eastAsia="仿宋" w:cs="仿宋"/>
                <w:color w:val="000000"/>
                <w:kern w:val="0"/>
                <w:lang w:val="en-US" w:eastAsia="zh-CN"/>
              </w:rPr>
              <w:t>钱立新</w:t>
            </w: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4CCC99F6">
            <w:pPr>
              <w:pStyle w:val="66"/>
              <w:rPr>
                <w:rFonts w:hint="eastAsia" w:ascii="仿宋" w:hAnsi="仿宋" w:eastAsia="仿宋" w:cs="仿宋"/>
                <w:szCs w:val="24"/>
              </w:rPr>
            </w:pPr>
            <w:r>
              <w:rPr>
                <w:rFonts w:hint="eastAsia" w:ascii="仿宋" w:hAnsi="仿宋" w:eastAsia="仿宋" w:cs="仿宋"/>
                <w:szCs w:val="24"/>
              </w:rPr>
              <w:t>单位性质</w:t>
            </w:r>
          </w:p>
        </w:tc>
        <w:tc>
          <w:tcPr>
            <w:tcW w:w="2316"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52345393">
            <w:pPr>
              <w:pStyle w:val="66"/>
              <w:rPr>
                <w:rFonts w:hint="eastAsia" w:ascii="仿宋" w:hAnsi="仿宋" w:eastAsia="仿宋" w:cs="仿宋"/>
                <w:szCs w:val="24"/>
                <w:lang w:eastAsia="zh-CN"/>
              </w:rPr>
            </w:pPr>
            <w:r>
              <w:rPr>
                <w:rFonts w:hint="eastAsia" w:ascii="仿宋" w:hAnsi="仿宋" w:eastAsia="仿宋" w:cs="仿宋"/>
                <w:szCs w:val="24"/>
                <w:lang w:val="en-US" w:eastAsia="zh-CN"/>
              </w:rPr>
              <w:t>民营</w:t>
            </w:r>
          </w:p>
        </w:tc>
      </w:tr>
      <w:tr w14:paraId="229B90B6">
        <w:tblPrEx>
          <w:tblBorders>
            <w:top w:val="single" w:color="00739B" w:sz="8"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97" w:hRule="atLeast"/>
          <w:jc w:val="center"/>
        </w:trPr>
        <w:tc>
          <w:tcPr>
            <w:tcW w:w="1295"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7B73DE18">
            <w:pPr>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经营范围</w:t>
            </w:r>
          </w:p>
        </w:tc>
        <w:tc>
          <w:tcPr>
            <w:tcW w:w="3915" w:type="dxa"/>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67C058E5">
            <w:pPr>
              <w:pStyle w:val="66"/>
              <w:rPr>
                <w:rFonts w:hint="default" w:ascii="仿宋" w:hAnsi="仿宋" w:eastAsia="仿宋" w:cs="仿宋"/>
                <w:color w:val="000000"/>
                <w:kern w:val="0"/>
                <w:lang w:val="en-US" w:eastAsia="zh-CN"/>
              </w:rPr>
            </w:pPr>
            <w:r>
              <w:rPr>
                <w:rFonts w:hint="eastAsia" w:ascii="仿宋" w:hAnsi="仿宋" w:eastAsia="仿宋" w:cs="仿宋"/>
                <w:color w:val="000000"/>
                <w:kern w:val="0"/>
                <w:lang w:val="en-US" w:eastAsia="zh-CN"/>
              </w:rPr>
              <w:t>危险化学品生产，危险化学品经营</w:t>
            </w:r>
          </w:p>
        </w:tc>
        <w:tc>
          <w:tcPr>
            <w:tcW w:w="1080"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2A5DC254">
            <w:pPr>
              <w:pStyle w:val="66"/>
              <w:rPr>
                <w:rFonts w:hint="eastAsia" w:ascii="仿宋" w:hAnsi="仿宋" w:eastAsia="仿宋" w:cs="仿宋"/>
                <w:szCs w:val="24"/>
              </w:rPr>
            </w:pPr>
            <w:r>
              <w:rPr>
                <w:rFonts w:hint="eastAsia" w:ascii="仿宋" w:hAnsi="仿宋" w:eastAsia="仿宋" w:cs="仿宋"/>
                <w:szCs w:val="24"/>
              </w:rPr>
              <w:t>成立时间</w:t>
            </w:r>
          </w:p>
        </w:tc>
        <w:tc>
          <w:tcPr>
            <w:tcW w:w="2316"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14C58F02">
            <w:pPr>
              <w:pStyle w:val="66"/>
              <w:rPr>
                <w:rFonts w:hint="eastAsia" w:ascii="仿宋" w:hAnsi="仿宋" w:eastAsia="仿宋" w:cs="仿宋"/>
                <w:szCs w:val="24"/>
              </w:rPr>
            </w:pPr>
            <w:r>
              <w:rPr>
                <w:rFonts w:hint="eastAsia" w:ascii="仿宋" w:hAnsi="仿宋" w:eastAsia="仿宋" w:cs="仿宋"/>
                <w:szCs w:val="24"/>
              </w:rPr>
              <w:t>2013-04-19</w:t>
            </w:r>
          </w:p>
        </w:tc>
      </w:tr>
      <w:tr w14:paraId="42D2CD34">
        <w:tblPrEx>
          <w:tblBorders>
            <w:top w:val="single" w:color="00739B" w:sz="8"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97" w:hRule="atLeast"/>
          <w:jc w:val="center"/>
        </w:trPr>
        <w:tc>
          <w:tcPr>
            <w:tcW w:w="1295"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488B7BD7">
            <w:pPr>
              <w:pStyle w:val="66"/>
              <w:rPr>
                <w:rFonts w:hint="eastAsia" w:ascii="仿宋" w:hAnsi="仿宋" w:eastAsia="仿宋" w:cs="仿宋"/>
                <w:szCs w:val="24"/>
              </w:rPr>
            </w:pPr>
            <w:r>
              <w:rPr>
                <w:rFonts w:hint="eastAsia" w:ascii="仿宋" w:hAnsi="仿宋" w:eastAsia="仿宋" w:cs="仿宋"/>
                <w:szCs w:val="24"/>
              </w:rPr>
              <w:t>所属行业</w:t>
            </w:r>
          </w:p>
        </w:tc>
        <w:tc>
          <w:tcPr>
            <w:tcW w:w="7311" w:type="dxa"/>
            <w:gridSpan w:val="6"/>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0EC8E197">
            <w:pPr>
              <w:pStyle w:val="66"/>
              <w:jc w:val="both"/>
              <w:rPr>
                <w:rFonts w:hint="eastAsia" w:ascii="仿宋" w:hAnsi="仿宋" w:eastAsia="仿宋" w:cs="仿宋"/>
                <w:szCs w:val="24"/>
              </w:rPr>
            </w:pPr>
            <w:r>
              <w:rPr>
                <w:rFonts w:hint="eastAsia" w:ascii="Times New Roman" w:hAnsi="Times New Roman" w:eastAsia="仿宋" w:cs="Times New Roman"/>
                <w:color w:val="000000"/>
                <w:kern w:val="0"/>
                <w:sz w:val="24"/>
                <w:szCs w:val="24"/>
                <w:highlight w:val="none"/>
                <w:shd w:val="clear"/>
                <w:lang w:val="en-US" w:eastAsia="zh-CN"/>
              </w:rPr>
              <w:t>其他</w:t>
            </w:r>
            <w:r>
              <w:rPr>
                <w:rFonts w:hint="default" w:ascii="Times New Roman" w:hAnsi="Times New Roman" w:eastAsia="仿宋" w:cs="Times New Roman"/>
                <w:color w:val="000000"/>
                <w:kern w:val="0"/>
                <w:sz w:val="24"/>
                <w:szCs w:val="24"/>
                <w:highlight w:val="none"/>
                <w:shd w:val="clear"/>
              </w:rPr>
              <w:t>基础化工原料制造</w:t>
            </w:r>
            <w:r>
              <w:rPr>
                <w:rFonts w:hint="default" w:ascii="Times New Roman" w:hAnsi="Times New Roman" w:eastAsia="仿宋" w:cs="Times New Roman"/>
                <w:color w:val="000000"/>
                <w:kern w:val="0"/>
                <w:sz w:val="24"/>
                <w:szCs w:val="24"/>
                <w:highlight w:val="none"/>
                <w:shd w:val="clear"/>
                <w:lang w:eastAsia="zh-CN"/>
              </w:rPr>
              <w:t>（</w:t>
            </w:r>
            <w:r>
              <w:rPr>
                <w:rFonts w:hint="default" w:ascii="Times New Roman" w:hAnsi="Times New Roman" w:eastAsia="仿宋" w:cs="Times New Roman"/>
                <w:color w:val="000000"/>
                <w:kern w:val="0"/>
                <w:sz w:val="24"/>
                <w:szCs w:val="24"/>
                <w:highlight w:val="none"/>
                <w:shd w:val="clear"/>
                <w:lang w:val="en-US" w:eastAsia="zh-CN"/>
              </w:rPr>
              <w:t>C2619</w:t>
            </w:r>
            <w:r>
              <w:rPr>
                <w:rFonts w:hint="default" w:ascii="Times New Roman" w:hAnsi="Times New Roman" w:eastAsia="仿宋" w:cs="Times New Roman"/>
                <w:color w:val="000000"/>
                <w:kern w:val="0"/>
                <w:sz w:val="24"/>
                <w:szCs w:val="24"/>
                <w:highlight w:val="none"/>
                <w:shd w:val="clear"/>
                <w:lang w:eastAsia="zh-CN"/>
              </w:rPr>
              <w:t>）</w:t>
            </w:r>
          </w:p>
        </w:tc>
      </w:tr>
      <w:tr w14:paraId="3CE72294">
        <w:tblPrEx>
          <w:tblBorders>
            <w:top w:val="single" w:color="00739B" w:sz="8"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97" w:hRule="atLeast"/>
          <w:jc w:val="center"/>
        </w:trPr>
        <w:tc>
          <w:tcPr>
            <w:tcW w:w="1295"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7FCBD516">
            <w:pPr>
              <w:pStyle w:val="66"/>
              <w:rPr>
                <w:rFonts w:hint="eastAsia" w:ascii="仿宋" w:hAnsi="仿宋" w:eastAsia="仿宋" w:cs="仿宋"/>
                <w:szCs w:val="24"/>
              </w:rPr>
            </w:pPr>
            <w:r>
              <w:rPr>
                <w:rFonts w:hint="eastAsia" w:ascii="仿宋" w:hAnsi="仿宋" w:eastAsia="仿宋" w:cs="仿宋"/>
                <w:szCs w:val="24"/>
              </w:rPr>
              <w:t>注册地址</w:t>
            </w:r>
          </w:p>
        </w:tc>
        <w:tc>
          <w:tcPr>
            <w:tcW w:w="7311" w:type="dxa"/>
            <w:gridSpan w:val="6"/>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307ABD9E">
            <w:pPr>
              <w:pStyle w:val="66"/>
              <w:jc w:val="both"/>
              <w:rPr>
                <w:rFonts w:hint="eastAsia" w:ascii="仿宋" w:hAnsi="仿宋" w:eastAsia="仿宋" w:cs="仿宋"/>
                <w:szCs w:val="24"/>
              </w:rPr>
            </w:pPr>
            <w:r>
              <w:rPr>
                <w:rFonts w:hint="default" w:ascii="Times New Roman" w:hAnsi="Times New Roman" w:eastAsia="仿宋" w:cs="Times New Roman"/>
                <w:sz w:val="24"/>
                <w:szCs w:val="24"/>
                <w:highlight w:val="none"/>
              </w:rPr>
              <w:t>山东郯城经济开发区新源路16号</w:t>
            </w:r>
          </w:p>
        </w:tc>
      </w:tr>
      <w:tr w14:paraId="26466897">
        <w:tblPrEx>
          <w:tblBorders>
            <w:top w:val="single" w:color="00739B" w:sz="8"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97" w:hRule="atLeast"/>
          <w:jc w:val="center"/>
        </w:trPr>
        <w:tc>
          <w:tcPr>
            <w:tcW w:w="1295"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37653C28">
            <w:pPr>
              <w:pStyle w:val="66"/>
              <w:rPr>
                <w:rFonts w:hint="eastAsia" w:ascii="仿宋" w:hAnsi="仿宋" w:eastAsia="仿宋" w:cs="仿宋"/>
                <w:szCs w:val="24"/>
              </w:rPr>
            </w:pPr>
            <w:r>
              <w:rPr>
                <w:rFonts w:hint="eastAsia" w:ascii="仿宋" w:hAnsi="仿宋" w:eastAsia="仿宋" w:cs="仿宋"/>
                <w:szCs w:val="24"/>
              </w:rPr>
              <w:t>经营地址</w:t>
            </w:r>
          </w:p>
        </w:tc>
        <w:tc>
          <w:tcPr>
            <w:tcW w:w="7311" w:type="dxa"/>
            <w:gridSpan w:val="6"/>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bottom w:w="10" w:type="dxa"/>
              <w:right w:w="10" w:type="dxa"/>
            </w:tcMar>
            <w:vAlign w:val="center"/>
          </w:tcPr>
          <w:p w14:paraId="077A7F3E">
            <w:pPr>
              <w:pStyle w:val="66"/>
              <w:jc w:val="both"/>
              <w:rPr>
                <w:rFonts w:hint="eastAsia" w:ascii="仿宋" w:hAnsi="仿宋" w:eastAsia="仿宋" w:cs="仿宋"/>
                <w:szCs w:val="24"/>
              </w:rPr>
            </w:pPr>
            <w:r>
              <w:rPr>
                <w:rFonts w:hint="default" w:ascii="Times New Roman" w:hAnsi="Times New Roman" w:eastAsia="仿宋" w:cs="Times New Roman"/>
                <w:sz w:val="24"/>
                <w:szCs w:val="24"/>
                <w:highlight w:val="none"/>
              </w:rPr>
              <w:t>山东郯城经济开发区新源路16号</w:t>
            </w:r>
          </w:p>
        </w:tc>
      </w:tr>
      <w:tr w14:paraId="69F975D0">
        <w:tblPrEx>
          <w:tblBorders>
            <w:top w:val="single" w:color="00739B" w:sz="8"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97" w:hRule="atLeast"/>
          <w:jc w:val="center"/>
        </w:trPr>
        <w:tc>
          <w:tcPr>
            <w:tcW w:w="1295" w:type="dxa"/>
            <w:vMerge w:val="restart"/>
            <w:tcBorders>
              <w:top w:val="single" w:color="000000" w:sz="4" w:space="0"/>
              <w:left w:val="single" w:color="000000" w:sz="4" w:space="0"/>
              <w:right w:val="single" w:color="000000" w:sz="4" w:space="0"/>
            </w:tcBorders>
            <w:shd w:val="clear" w:color="auto" w:fill="auto"/>
            <w:tcMar>
              <w:top w:w="10" w:type="dxa"/>
              <w:left w:w="10" w:type="dxa"/>
              <w:bottom w:w="10" w:type="dxa"/>
              <w:right w:w="10" w:type="dxa"/>
            </w:tcMar>
            <w:vAlign w:val="center"/>
          </w:tcPr>
          <w:p w14:paraId="5F1D249C">
            <w:pPr>
              <w:pStyle w:val="66"/>
              <w:rPr>
                <w:rFonts w:hint="eastAsia" w:ascii="仿宋" w:hAnsi="仿宋" w:eastAsia="仿宋" w:cs="仿宋"/>
                <w:szCs w:val="24"/>
                <w:highlight w:val="none"/>
              </w:rPr>
            </w:pPr>
            <w:r>
              <w:rPr>
                <w:rFonts w:hint="eastAsia" w:ascii="仿宋" w:hAnsi="仿宋" w:eastAsia="仿宋" w:cs="仿宋"/>
                <w:szCs w:val="24"/>
                <w:highlight w:val="none"/>
              </w:rPr>
              <w:t>排放报告</w:t>
            </w:r>
          </w:p>
          <w:p w14:paraId="53010E34">
            <w:pPr>
              <w:pStyle w:val="66"/>
              <w:rPr>
                <w:rFonts w:hint="eastAsia" w:ascii="仿宋" w:hAnsi="仿宋" w:eastAsia="仿宋" w:cs="仿宋"/>
                <w:szCs w:val="24"/>
                <w:highlight w:val="none"/>
              </w:rPr>
            </w:pPr>
            <w:r>
              <w:rPr>
                <w:rFonts w:hint="eastAsia" w:ascii="仿宋" w:hAnsi="仿宋" w:eastAsia="仿宋" w:cs="仿宋"/>
                <w:szCs w:val="24"/>
                <w:highlight w:val="none"/>
              </w:rPr>
              <w:t>联系人</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20993DE5">
            <w:pPr>
              <w:pStyle w:val="66"/>
              <w:rPr>
                <w:rFonts w:hint="eastAsia" w:ascii="仿宋" w:hAnsi="仿宋" w:eastAsia="仿宋" w:cs="仿宋"/>
                <w:szCs w:val="24"/>
                <w:highlight w:val="none"/>
              </w:rPr>
            </w:pPr>
            <w:r>
              <w:rPr>
                <w:rFonts w:hint="eastAsia" w:ascii="仿宋" w:hAnsi="仿宋" w:eastAsia="仿宋" w:cs="仿宋"/>
                <w:szCs w:val="24"/>
                <w:highlight w:val="none"/>
              </w:rPr>
              <w:t>姓名</w:t>
            </w:r>
          </w:p>
        </w:tc>
        <w:tc>
          <w:tcPr>
            <w:tcW w:w="8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289FEF9E">
            <w:pPr>
              <w:pStyle w:val="66"/>
              <w:rPr>
                <w:rFonts w:hint="eastAsia" w:ascii="仿宋" w:hAnsi="仿宋" w:eastAsia="仿宋" w:cs="仿宋"/>
                <w:szCs w:val="24"/>
              </w:rPr>
            </w:pPr>
            <w:r>
              <w:rPr>
                <w:rFonts w:hint="default" w:ascii="Times New Roman" w:hAnsi="Times New Roman" w:eastAsia="仿宋" w:cs="Times New Roman"/>
                <w:color w:val="000000"/>
                <w:kern w:val="0"/>
                <w:sz w:val="24"/>
                <w:szCs w:val="24"/>
                <w:highlight w:val="none"/>
              </w:rPr>
              <w:t>葛玉娟</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1027B0F1">
            <w:pPr>
              <w:pStyle w:val="66"/>
              <w:rPr>
                <w:rFonts w:hint="eastAsia" w:ascii="仿宋" w:hAnsi="仿宋" w:eastAsia="仿宋" w:cs="仿宋"/>
                <w:szCs w:val="24"/>
              </w:rPr>
            </w:pPr>
            <w:r>
              <w:rPr>
                <w:rFonts w:hint="eastAsia" w:ascii="仿宋" w:hAnsi="仿宋" w:eastAsia="仿宋" w:cs="仿宋"/>
                <w:szCs w:val="24"/>
              </w:rPr>
              <w:t>职务</w:t>
            </w:r>
          </w:p>
        </w:tc>
        <w:tc>
          <w:tcPr>
            <w:tcW w:w="162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512E057C">
            <w:pPr>
              <w:pStyle w:val="66"/>
              <w:rPr>
                <w:rFonts w:hint="eastAsia" w:ascii="仿宋" w:hAnsi="仿宋" w:eastAsia="仿宋" w:cs="仿宋"/>
                <w:szCs w:val="24"/>
                <w:lang w:val="en-US" w:eastAsia="zh-CN"/>
              </w:rPr>
            </w:pPr>
            <w:r>
              <w:rPr>
                <w:rFonts w:hint="eastAsia" w:ascii="仿宋" w:hAnsi="仿宋" w:eastAsia="仿宋" w:cs="仿宋"/>
                <w:szCs w:val="24"/>
                <w:lang w:val="en-US" w:eastAsia="zh-CN"/>
              </w:rPr>
              <w:t>科长</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384BE908">
            <w:pPr>
              <w:pStyle w:val="66"/>
              <w:rPr>
                <w:rFonts w:hint="eastAsia" w:ascii="仿宋" w:hAnsi="仿宋" w:eastAsia="仿宋" w:cs="仿宋"/>
                <w:szCs w:val="24"/>
              </w:rPr>
            </w:pPr>
            <w:r>
              <w:rPr>
                <w:rFonts w:hint="eastAsia" w:ascii="仿宋" w:hAnsi="仿宋" w:eastAsia="仿宋" w:cs="仿宋"/>
                <w:szCs w:val="24"/>
              </w:rPr>
              <w:t>部门</w:t>
            </w:r>
          </w:p>
        </w:tc>
        <w:tc>
          <w:tcPr>
            <w:tcW w:w="231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50D9A319">
            <w:pPr>
              <w:pStyle w:val="66"/>
              <w:rPr>
                <w:rFonts w:hint="eastAsia" w:ascii="仿宋" w:hAnsi="仿宋" w:eastAsia="仿宋" w:cs="仿宋"/>
                <w:szCs w:val="24"/>
                <w:lang w:eastAsia="zh-CN"/>
              </w:rPr>
            </w:pPr>
            <w:r>
              <w:rPr>
                <w:rFonts w:hint="eastAsia" w:ascii="仿宋" w:hAnsi="仿宋" w:eastAsia="仿宋" w:cs="仿宋"/>
                <w:szCs w:val="24"/>
                <w:lang w:val="en-US" w:eastAsia="zh-CN"/>
              </w:rPr>
              <w:t>安全科</w:t>
            </w:r>
          </w:p>
        </w:tc>
      </w:tr>
      <w:tr w14:paraId="44EE6250">
        <w:tblPrEx>
          <w:tblBorders>
            <w:top w:val="single" w:color="00739B" w:sz="8"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97" w:hRule="atLeast"/>
          <w:jc w:val="center"/>
        </w:trPr>
        <w:tc>
          <w:tcPr>
            <w:tcW w:w="1295" w:type="dxa"/>
            <w:vMerge w:val="continue"/>
            <w:tcBorders>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33DDCF8E">
            <w:pPr>
              <w:pStyle w:val="66"/>
              <w:rPr>
                <w:rFonts w:hint="eastAsia" w:ascii="仿宋" w:hAnsi="仿宋" w:eastAsia="仿宋" w:cs="仿宋"/>
                <w:szCs w:val="24"/>
                <w:highlight w:val="none"/>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58DA15FD">
            <w:pPr>
              <w:pStyle w:val="66"/>
              <w:rPr>
                <w:rFonts w:hint="eastAsia" w:ascii="仿宋" w:hAnsi="仿宋" w:eastAsia="仿宋" w:cs="仿宋"/>
                <w:szCs w:val="24"/>
                <w:highlight w:val="none"/>
              </w:rPr>
            </w:pPr>
            <w:r>
              <w:rPr>
                <w:rFonts w:hint="eastAsia" w:ascii="仿宋" w:hAnsi="仿宋" w:eastAsia="仿宋" w:cs="仿宋"/>
                <w:szCs w:val="24"/>
                <w:highlight w:val="none"/>
              </w:rPr>
              <w:t>邮箱</w:t>
            </w:r>
          </w:p>
        </w:tc>
        <w:tc>
          <w:tcPr>
            <w:tcW w:w="320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74091914">
            <w:pPr>
              <w:pStyle w:val="66"/>
              <w:rPr>
                <w:rFonts w:hint="eastAsia" w:ascii="仿宋" w:hAnsi="仿宋" w:eastAsia="仿宋" w:cs="仿宋"/>
                <w:szCs w:val="24"/>
              </w:rPr>
            </w:pPr>
            <w:r>
              <w:rPr>
                <w:rFonts w:hint="eastAsia" w:ascii="仿宋" w:hAnsi="仿宋" w:eastAsia="仿宋" w:cs="仿宋"/>
                <w:color w:val="000000"/>
                <w:kern w:val="0"/>
                <w:sz w:val="24"/>
                <w:szCs w:val="24"/>
                <w:highlight w:val="none"/>
              </w:rPr>
              <w:t>Zykh2653767@163.co</w:t>
            </w:r>
            <w:r>
              <w:rPr>
                <w:rFonts w:hint="eastAsia" w:ascii="仿宋" w:hAnsi="仿宋" w:eastAsia="仿宋" w:cs="仿宋"/>
                <w:color w:val="000000"/>
                <w:kern w:val="0"/>
                <w:sz w:val="24"/>
                <w:szCs w:val="24"/>
                <w:highlight w:val="none"/>
                <w:lang w:val="en-US" w:eastAsia="zh-CN"/>
              </w:rPr>
              <w:t>m</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D8271">
            <w:pPr>
              <w:pStyle w:val="66"/>
              <w:rPr>
                <w:rFonts w:hint="eastAsia" w:ascii="仿宋" w:hAnsi="仿宋" w:eastAsia="仿宋" w:cs="仿宋"/>
                <w:szCs w:val="24"/>
              </w:rPr>
            </w:pPr>
            <w:r>
              <w:rPr>
                <w:rFonts w:hint="eastAsia" w:ascii="仿宋" w:hAnsi="仿宋" w:eastAsia="仿宋" w:cs="仿宋"/>
                <w:szCs w:val="24"/>
              </w:rPr>
              <w:t>电话</w:t>
            </w:r>
          </w:p>
        </w:tc>
        <w:tc>
          <w:tcPr>
            <w:tcW w:w="2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AFE4E">
            <w:pPr>
              <w:pStyle w:val="66"/>
              <w:rPr>
                <w:rFonts w:hint="eastAsia" w:ascii="仿宋" w:hAnsi="仿宋" w:eastAsia="仿宋" w:cs="仿宋"/>
                <w:szCs w:val="24"/>
              </w:rPr>
            </w:pPr>
            <w:r>
              <w:rPr>
                <w:rFonts w:hint="eastAsia" w:ascii="仿宋" w:hAnsi="仿宋" w:eastAsia="仿宋" w:cs="仿宋"/>
                <w:color w:val="000000"/>
                <w:kern w:val="0"/>
                <w:sz w:val="24"/>
                <w:szCs w:val="24"/>
                <w:highlight w:val="none"/>
              </w:rPr>
              <w:t>0539-2653766</w:t>
            </w:r>
          </w:p>
        </w:tc>
      </w:tr>
      <w:tr w14:paraId="531FC252">
        <w:tblPrEx>
          <w:tblBorders>
            <w:top w:val="single" w:color="00739B" w:sz="8"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97" w:hRule="atLeast"/>
          <w:jc w:val="center"/>
        </w:trPr>
        <w:tc>
          <w:tcPr>
            <w:tcW w:w="129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725A7E13">
            <w:pPr>
              <w:pStyle w:val="66"/>
              <w:rPr>
                <w:rFonts w:hint="eastAsia" w:ascii="仿宋" w:hAnsi="仿宋" w:eastAsia="仿宋" w:cs="仿宋"/>
                <w:szCs w:val="24"/>
              </w:rPr>
            </w:pPr>
            <w:r>
              <w:rPr>
                <w:rFonts w:hint="eastAsia" w:ascii="仿宋" w:hAnsi="仿宋" w:eastAsia="仿宋" w:cs="仿宋"/>
                <w:szCs w:val="24"/>
              </w:rPr>
              <w:t>通讯地址</w:t>
            </w:r>
          </w:p>
        </w:tc>
        <w:tc>
          <w:tcPr>
            <w:tcW w:w="3915" w:type="dxa"/>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bottom w:w="10" w:type="dxa"/>
              <w:right w:w="10" w:type="dxa"/>
            </w:tcMar>
            <w:vAlign w:val="center"/>
          </w:tcPr>
          <w:p w14:paraId="6A0F84DD">
            <w:pPr>
              <w:pStyle w:val="66"/>
              <w:jc w:val="left"/>
              <w:rPr>
                <w:rFonts w:hint="eastAsia" w:ascii="仿宋" w:hAnsi="仿宋" w:eastAsia="仿宋" w:cs="仿宋"/>
                <w:szCs w:val="24"/>
              </w:rPr>
            </w:pPr>
            <w:r>
              <w:rPr>
                <w:rFonts w:hint="default" w:ascii="Times New Roman" w:hAnsi="Times New Roman" w:eastAsia="仿宋" w:cs="Times New Roman"/>
                <w:sz w:val="24"/>
                <w:szCs w:val="24"/>
                <w:highlight w:val="none"/>
              </w:rPr>
              <w:t>山东郯城经济开发区新源路16号</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B3474">
            <w:pPr>
              <w:pStyle w:val="66"/>
              <w:rPr>
                <w:rFonts w:hint="eastAsia" w:ascii="仿宋" w:hAnsi="仿宋" w:eastAsia="仿宋" w:cs="仿宋"/>
                <w:szCs w:val="24"/>
              </w:rPr>
            </w:pPr>
            <w:r>
              <w:rPr>
                <w:rFonts w:hint="eastAsia" w:ascii="仿宋" w:hAnsi="仿宋" w:eastAsia="仿宋" w:cs="仿宋"/>
                <w:szCs w:val="24"/>
              </w:rPr>
              <w:t>邮编</w:t>
            </w:r>
          </w:p>
        </w:tc>
        <w:tc>
          <w:tcPr>
            <w:tcW w:w="2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04F4B">
            <w:pPr>
              <w:pStyle w:val="66"/>
              <w:rPr>
                <w:rFonts w:hint="default" w:ascii="仿宋" w:hAnsi="仿宋" w:eastAsia="仿宋" w:cs="仿宋"/>
                <w:szCs w:val="24"/>
                <w:lang w:val="en-US" w:eastAsia="zh-CN"/>
              </w:rPr>
            </w:pPr>
            <w:r>
              <w:rPr>
                <w:rFonts w:hint="eastAsia" w:ascii="仿宋" w:hAnsi="仿宋" w:eastAsia="仿宋" w:cs="仿宋"/>
                <w:szCs w:val="24"/>
                <w:lang w:val="en-US" w:eastAsia="zh-CN"/>
              </w:rPr>
              <w:t>276100</w:t>
            </w:r>
          </w:p>
        </w:tc>
      </w:tr>
    </w:tbl>
    <w:p w14:paraId="5B094285">
      <w:pPr>
        <w:rPr>
          <w:rFonts w:hint="eastAsia" w:ascii="仿宋" w:hAnsi="仿宋" w:eastAsia="仿宋" w:cs="仿宋"/>
          <w:szCs w:val="28"/>
        </w:rPr>
      </w:pPr>
      <w:r>
        <w:rPr>
          <w:rFonts w:hint="eastAsia" w:ascii="仿宋" w:hAnsi="仿宋" w:eastAsia="仿宋" w:cs="仿宋"/>
          <w:szCs w:val="28"/>
        </w:rPr>
        <w:t>温室气体核算和报告工作由</w:t>
      </w:r>
      <w:r>
        <w:rPr>
          <w:rFonts w:hint="eastAsia" w:ascii="仿宋" w:hAnsi="仿宋" w:eastAsia="仿宋" w:cs="仿宋"/>
          <w:szCs w:val="24"/>
          <w:lang w:val="en-US" w:eastAsia="zh-CN"/>
        </w:rPr>
        <w:t>安全科</w:t>
      </w:r>
      <w:r>
        <w:rPr>
          <w:rFonts w:hint="eastAsia" w:ascii="仿宋" w:hAnsi="仿宋" w:eastAsia="仿宋" w:cs="仿宋"/>
          <w:szCs w:val="28"/>
        </w:rPr>
        <w:t>负责。</w:t>
      </w:r>
    </w:p>
    <w:p w14:paraId="2EBE1FA0">
      <w:pPr>
        <w:pStyle w:val="4"/>
        <w:spacing w:beforeLines="50" w:afterLines="50"/>
        <w:rPr>
          <w:rFonts w:hint="eastAsia" w:ascii="仿宋" w:hAnsi="仿宋" w:eastAsia="仿宋" w:cs="仿宋"/>
          <w:szCs w:val="28"/>
        </w:rPr>
      </w:pPr>
      <w:bookmarkStart w:id="180" w:name="_Toc25630"/>
      <w:bookmarkStart w:id="181" w:name="_Toc503300118"/>
      <w:bookmarkStart w:id="182" w:name="_Toc2111"/>
      <w:bookmarkStart w:id="183" w:name="_Toc21654"/>
      <w:bookmarkStart w:id="184" w:name="_Toc16003"/>
      <w:bookmarkStart w:id="185" w:name="_Toc23878_WPSOffice_Level3"/>
      <w:bookmarkStart w:id="186" w:name="_Toc444197191"/>
      <w:bookmarkStart w:id="187" w:name="_Toc444196300"/>
      <w:bookmarkStart w:id="188" w:name="_Toc12388"/>
      <w:r>
        <w:rPr>
          <w:rFonts w:hint="eastAsia" w:ascii="仿宋" w:hAnsi="仿宋" w:eastAsia="仿宋" w:cs="仿宋"/>
          <w:szCs w:val="28"/>
        </w:rPr>
        <w:t>3.1.2 能源管理现状及监测设备管理情况</w:t>
      </w:r>
      <w:bookmarkEnd w:id="180"/>
      <w:bookmarkEnd w:id="181"/>
      <w:bookmarkEnd w:id="182"/>
      <w:bookmarkEnd w:id="183"/>
      <w:bookmarkEnd w:id="184"/>
      <w:bookmarkEnd w:id="185"/>
      <w:bookmarkEnd w:id="186"/>
      <w:bookmarkEnd w:id="187"/>
      <w:bookmarkEnd w:id="188"/>
    </w:p>
    <w:p w14:paraId="16346CE4">
      <w:pPr>
        <w:rPr>
          <w:rFonts w:hint="eastAsia" w:ascii="仿宋" w:hAnsi="仿宋" w:eastAsia="仿宋" w:cs="仿宋"/>
          <w:szCs w:val="28"/>
        </w:rPr>
      </w:pPr>
      <w:r>
        <w:rPr>
          <w:rFonts w:hint="eastAsia" w:ascii="仿宋" w:hAnsi="仿宋" w:eastAsia="仿宋" w:cs="仿宋"/>
          <w:szCs w:val="28"/>
        </w:rPr>
        <w:t>通过文件评审以及对受核查方管理人员进行现场访谈，核查组确认受核查方的能源管理现状及监测设备管理情况如下：</w:t>
      </w:r>
    </w:p>
    <w:p w14:paraId="3ED81DDA">
      <w:pPr>
        <w:widowControl/>
        <w:ind w:firstLine="562" w:firstLineChars="0"/>
        <w:jc w:val="left"/>
        <w:rPr>
          <w:rFonts w:hint="eastAsia" w:ascii="仿宋" w:hAnsi="仿宋" w:eastAsia="仿宋" w:cs="仿宋"/>
          <w:b/>
          <w:snapToGrid/>
          <w:szCs w:val="24"/>
        </w:rPr>
      </w:pPr>
      <w:r>
        <w:rPr>
          <w:rFonts w:hint="eastAsia" w:ascii="仿宋" w:hAnsi="仿宋" w:eastAsia="仿宋" w:cs="仿宋"/>
          <w:b/>
          <w:snapToGrid/>
          <w:szCs w:val="24"/>
        </w:rPr>
        <w:t>1）能源管理部门</w:t>
      </w:r>
    </w:p>
    <w:p w14:paraId="3C5BF55D">
      <w:pPr>
        <w:widowControl/>
        <w:ind w:firstLineChars="0"/>
        <w:jc w:val="left"/>
        <w:rPr>
          <w:rFonts w:hint="eastAsia" w:ascii="仿宋" w:hAnsi="仿宋" w:eastAsia="仿宋" w:cs="仿宋"/>
          <w:szCs w:val="28"/>
        </w:rPr>
      </w:pPr>
      <w:r>
        <w:rPr>
          <w:rFonts w:hint="eastAsia" w:ascii="仿宋" w:hAnsi="仿宋" w:eastAsia="仿宋" w:cs="仿宋"/>
          <w:szCs w:val="28"/>
        </w:rPr>
        <w:t>经核查，受核查方的能源管理工作由</w:t>
      </w:r>
      <w:r>
        <w:rPr>
          <w:rFonts w:hint="eastAsia" w:ascii="仿宋" w:hAnsi="仿宋" w:eastAsia="仿宋" w:cs="仿宋"/>
          <w:szCs w:val="24"/>
          <w:lang w:val="en-US" w:eastAsia="zh-CN"/>
        </w:rPr>
        <w:t>安全科</w:t>
      </w:r>
      <w:r>
        <w:rPr>
          <w:rFonts w:hint="eastAsia" w:ascii="仿宋" w:hAnsi="仿宋" w:eastAsia="仿宋" w:cs="仿宋"/>
          <w:szCs w:val="28"/>
        </w:rPr>
        <w:t>牵头负责。</w:t>
      </w:r>
    </w:p>
    <w:p w14:paraId="3DA08F4E">
      <w:pPr>
        <w:widowControl/>
        <w:ind w:firstLine="562" w:firstLineChars="0"/>
        <w:jc w:val="left"/>
        <w:rPr>
          <w:rFonts w:hint="eastAsia" w:ascii="仿宋" w:hAnsi="仿宋" w:eastAsia="仿宋" w:cs="仿宋"/>
          <w:b/>
          <w:snapToGrid/>
          <w:szCs w:val="24"/>
        </w:rPr>
      </w:pPr>
      <w:r>
        <w:rPr>
          <w:rFonts w:hint="eastAsia" w:ascii="仿宋" w:hAnsi="仿宋" w:eastAsia="仿宋" w:cs="仿宋"/>
          <w:b/>
          <w:snapToGrid/>
          <w:szCs w:val="24"/>
        </w:rPr>
        <w:t>2）主要用能设备</w:t>
      </w:r>
    </w:p>
    <w:p w14:paraId="7020261E">
      <w:pPr>
        <w:rPr>
          <w:rFonts w:hint="eastAsia" w:ascii="仿宋" w:hAnsi="仿宋" w:eastAsia="仿宋" w:cs="仿宋"/>
          <w:szCs w:val="28"/>
        </w:rPr>
      </w:pPr>
      <w:r>
        <w:rPr>
          <w:rFonts w:hint="eastAsia" w:ascii="仿宋" w:hAnsi="仿宋" w:eastAsia="仿宋" w:cs="仿宋"/>
          <w:szCs w:val="28"/>
        </w:rPr>
        <w:t>通过查阅受核查方主要用能设备清单，以及现场勘查，核查组确认受核查方的主要用能设备情况如下：</w:t>
      </w:r>
    </w:p>
    <w:p w14:paraId="7C94D5B3">
      <w:pPr>
        <w:widowControl/>
        <w:ind w:firstLine="0" w:firstLineChars="0"/>
        <w:jc w:val="center"/>
        <w:rPr>
          <w:rFonts w:hint="eastAsia" w:ascii="仿宋" w:hAnsi="仿宋" w:eastAsia="仿宋" w:cs="仿宋"/>
          <w:b/>
          <w:snapToGrid/>
          <w:szCs w:val="21"/>
          <w:highlight w:val="none"/>
        </w:rPr>
      </w:pPr>
      <w:bookmarkStart w:id="189" w:name="_Toc5626_WPSOffice_Level3"/>
      <w:bookmarkStart w:id="190" w:name="_Toc20063_WPSOffice_Level3"/>
      <w:bookmarkStart w:id="191" w:name="_Toc4330_WPSOffice_Level3"/>
      <w:bookmarkStart w:id="192" w:name="_Toc14768_WPSOffice_Level3"/>
      <w:r>
        <w:rPr>
          <w:rFonts w:hint="eastAsia" w:ascii="仿宋" w:hAnsi="仿宋" w:eastAsia="仿宋" w:cs="仿宋"/>
          <w:b/>
          <w:snapToGrid/>
          <w:szCs w:val="21"/>
          <w:highlight w:val="none"/>
        </w:rPr>
        <w:t xml:space="preserve">表3-2 </w:t>
      </w:r>
      <w:r>
        <w:rPr>
          <w:rFonts w:hint="eastAsia" w:ascii="仿宋" w:hAnsi="仿宋" w:eastAsia="仿宋" w:cs="仿宋"/>
          <w:b/>
          <w:bCs/>
          <w:szCs w:val="28"/>
          <w:highlight w:val="none"/>
        </w:rPr>
        <w:t>经核查的</w:t>
      </w:r>
      <w:r>
        <w:rPr>
          <w:rFonts w:hint="eastAsia" w:ascii="仿宋" w:hAnsi="仿宋" w:eastAsia="仿宋" w:cs="仿宋"/>
          <w:b/>
          <w:snapToGrid/>
          <w:szCs w:val="21"/>
          <w:highlight w:val="none"/>
        </w:rPr>
        <w:t>主要用能</w:t>
      </w:r>
      <w:bookmarkEnd w:id="189"/>
      <w:r>
        <w:rPr>
          <w:rFonts w:hint="eastAsia" w:ascii="仿宋" w:hAnsi="仿宋" w:eastAsia="仿宋" w:cs="仿宋"/>
          <w:b/>
          <w:snapToGrid/>
          <w:szCs w:val="21"/>
          <w:highlight w:val="none"/>
        </w:rPr>
        <w:t>设备</w:t>
      </w:r>
      <w:bookmarkEnd w:id="190"/>
      <w:bookmarkEnd w:id="191"/>
      <w:bookmarkEnd w:id="192"/>
    </w:p>
    <w:tbl>
      <w:tblPr>
        <w:tblStyle w:val="27"/>
        <w:tblW w:w="86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2158"/>
        <w:gridCol w:w="2300"/>
        <w:gridCol w:w="1212"/>
        <w:gridCol w:w="767"/>
        <w:gridCol w:w="1482"/>
      </w:tblGrid>
      <w:tr w14:paraId="279D9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60C3D058">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序号</w:t>
            </w:r>
          </w:p>
        </w:tc>
        <w:tc>
          <w:tcPr>
            <w:tcW w:w="2158" w:type="dxa"/>
            <w:tcBorders>
              <w:top w:val="single" w:color="auto" w:sz="4" w:space="0"/>
              <w:left w:val="single" w:color="auto" w:sz="4" w:space="0"/>
              <w:bottom w:val="single" w:color="auto" w:sz="4" w:space="0"/>
              <w:right w:val="single" w:color="auto" w:sz="4" w:space="0"/>
            </w:tcBorders>
            <w:vAlign w:val="center"/>
          </w:tcPr>
          <w:p w14:paraId="3AB9A6FE">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设备名称</w:t>
            </w:r>
          </w:p>
        </w:tc>
        <w:tc>
          <w:tcPr>
            <w:tcW w:w="2300" w:type="dxa"/>
            <w:tcBorders>
              <w:top w:val="single" w:color="auto" w:sz="4" w:space="0"/>
              <w:left w:val="single" w:color="auto" w:sz="4" w:space="0"/>
              <w:bottom w:val="single" w:color="auto" w:sz="4" w:space="0"/>
              <w:right w:val="single" w:color="auto" w:sz="4" w:space="0"/>
            </w:tcBorders>
            <w:vAlign w:val="center"/>
          </w:tcPr>
          <w:p w14:paraId="11954C7E">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设备型号</w:t>
            </w:r>
          </w:p>
        </w:tc>
        <w:tc>
          <w:tcPr>
            <w:tcW w:w="1212" w:type="dxa"/>
            <w:tcBorders>
              <w:top w:val="single" w:color="auto" w:sz="4" w:space="0"/>
              <w:left w:val="single" w:color="auto" w:sz="4" w:space="0"/>
              <w:bottom w:val="single" w:color="auto" w:sz="4" w:space="0"/>
              <w:right w:val="single" w:color="auto" w:sz="4" w:space="0"/>
            </w:tcBorders>
            <w:vAlign w:val="center"/>
          </w:tcPr>
          <w:p w14:paraId="7A2014EC">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位置</w:t>
            </w:r>
          </w:p>
        </w:tc>
        <w:tc>
          <w:tcPr>
            <w:tcW w:w="767" w:type="dxa"/>
            <w:tcBorders>
              <w:top w:val="single" w:color="auto" w:sz="4" w:space="0"/>
              <w:left w:val="single" w:color="auto" w:sz="4" w:space="0"/>
              <w:bottom w:val="single" w:color="auto" w:sz="4" w:space="0"/>
              <w:right w:val="single" w:color="auto" w:sz="4" w:space="0"/>
            </w:tcBorders>
            <w:vAlign w:val="center"/>
          </w:tcPr>
          <w:p w14:paraId="6A12EBC5">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状态</w:t>
            </w:r>
          </w:p>
        </w:tc>
        <w:tc>
          <w:tcPr>
            <w:tcW w:w="1482" w:type="dxa"/>
            <w:tcBorders>
              <w:top w:val="single" w:color="auto" w:sz="4" w:space="0"/>
              <w:left w:val="single" w:color="auto" w:sz="4" w:space="0"/>
              <w:bottom w:val="single" w:color="auto" w:sz="4" w:space="0"/>
              <w:right w:val="single" w:color="auto" w:sz="4" w:space="0"/>
            </w:tcBorders>
            <w:vAlign w:val="center"/>
          </w:tcPr>
          <w:p w14:paraId="4D9CB2DC">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能源种类</w:t>
            </w:r>
          </w:p>
        </w:tc>
      </w:tr>
      <w:tr w14:paraId="5DB37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4F5E5F68">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1</w:t>
            </w:r>
          </w:p>
        </w:tc>
        <w:tc>
          <w:tcPr>
            <w:tcW w:w="2158" w:type="dxa"/>
            <w:tcBorders>
              <w:top w:val="single" w:color="auto" w:sz="4" w:space="0"/>
              <w:left w:val="single" w:color="auto" w:sz="4" w:space="0"/>
              <w:bottom w:val="single" w:color="auto" w:sz="4" w:space="0"/>
              <w:right w:val="single" w:color="auto" w:sz="4" w:space="0"/>
            </w:tcBorders>
            <w:vAlign w:val="center"/>
          </w:tcPr>
          <w:p w14:paraId="2983013F">
            <w:pPr>
              <w:widowControl/>
              <w:spacing w:line="240" w:lineRule="auto"/>
              <w:ind w:firstLine="480" w:firstLineChars="200"/>
              <w:jc w:val="both"/>
              <w:rPr>
                <w:rFonts w:hint="eastAsia" w:ascii="仿宋" w:hAnsi="仿宋" w:eastAsia="仿宋" w:cs="仿宋"/>
                <w:sz w:val="24"/>
                <w:szCs w:val="24"/>
                <w:lang w:eastAsia="zh-CN"/>
              </w:rPr>
            </w:pPr>
            <w:r>
              <w:rPr>
                <w:rFonts w:hint="eastAsia" w:ascii="仿宋" w:hAnsi="仿宋" w:eastAsia="仿宋" w:cs="仿宋"/>
                <w:color w:val="000000"/>
                <w:kern w:val="0"/>
                <w:sz w:val="24"/>
                <w:szCs w:val="24"/>
                <w:lang w:val="en-US" w:eastAsia="zh-CN" w:bidi="ar"/>
              </w:rPr>
              <w:t>离心机</w:t>
            </w:r>
          </w:p>
        </w:tc>
        <w:tc>
          <w:tcPr>
            <w:tcW w:w="2300" w:type="dxa"/>
            <w:tcBorders>
              <w:top w:val="single" w:color="auto" w:sz="4" w:space="0"/>
              <w:left w:val="single" w:color="auto" w:sz="4" w:space="0"/>
              <w:bottom w:val="single" w:color="auto" w:sz="4" w:space="0"/>
              <w:right w:val="single" w:color="auto" w:sz="4" w:space="0"/>
            </w:tcBorders>
            <w:vAlign w:val="center"/>
          </w:tcPr>
          <w:p w14:paraId="60EABF04">
            <w:pPr>
              <w:widowControl/>
              <w:spacing w:line="240" w:lineRule="auto"/>
              <w:ind w:firstLine="720" w:firstLineChars="3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rPr>
              <w:t>S-800</w:t>
            </w:r>
          </w:p>
        </w:tc>
        <w:tc>
          <w:tcPr>
            <w:tcW w:w="1212" w:type="dxa"/>
            <w:tcBorders>
              <w:top w:val="single" w:color="auto" w:sz="4" w:space="0"/>
              <w:left w:val="single" w:color="auto" w:sz="4" w:space="0"/>
              <w:bottom w:val="single" w:color="auto" w:sz="4" w:space="0"/>
              <w:right w:val="single" w:color="auto" w:sz="4" w:space="0"/>
            </w:tcBorders>
            <w:vAlign w:val="center"/>
          </w:tcPr>
          <w:p w14:paraId="5783A8D3">
            <w:pPr>
              <w:widowControl/>
              <w:spacing w:line="240" w:lineRule="auto"/>
              <w:ind w:left="0" w:leftChars="0" w:firstLine="0" w:firstLineChars="0"/>
              <w:jc w:val="both"/>
              <w:rPr>
                <w:rFonts w:hint="eastAsia" w:ascii="仿宋" w:hAnsi="仿宋" w:eastAsia="仿宋" w:cs="仿宋"/>
                <w:sz w:val="24"/>
                <w:szCs w:val="24"/>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352497E6">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50C87450">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电</w:t>
            </w:r>
          </w:p>
        </w:tc>
      </w:tr>
      <w:tr w14:paraId="66783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35CB9034">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2</w:t>
            </w:r>
          </w:p>
        </w:tc>
        <w:tc>
          <w:tcPr>
            <w:tcW w:w="2158" w:type="dxa"/>
            <w:tcBorders>
              <w:top w:val="single" w:color="auto" w:sz="4" w:space="0"/>
              <w:left w:val="single" w:color="auto" w:sz="4" w:space="0"/>
              <w:bottom w:val="single" w:color="auto" w:sz="4" w:space="0"/>
              <w:right w:val="single" w:color="auto" w:sz="4" w:space="0"/>
            </w:tcBorders>
            <w:vAlign w:val="center"/>
          </w:tcPr>
          <w:p w14:paraId="62E47D19">
            <w:pPr>
              <w:widowControl/>
              <w:spacing w:line="240" w:lineRule="auto"/>
              <w:ind w:firstLine="480" w:firstLineChars="2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转料泵</w:t>
            </w:r>
          </w:p>
        </w:tc>
        <w:tc>
          <w:tcPr>
            <w:tcW w:w="2300" w:type="dxa"/>
            <w:tcBorders>
              <w:top w:val="single" w:color="auto" w:sz="4" w:space="0"/>
              <w:left w:val="single" w:color="auto" w:sz="4" w:space="0"/>
              <w:bottom w:val="single" w:color="auto" w:sz="4" w:space="0"/>
              <w:right w:val="single" w:color="auto" w:sz="4" w:space="0"/>
            </w:tcBorders>
            <w:vAlign w:val="center"/>
          </w:tcPr>
          <w:p w14:paraId="771372A2">
            <w:pPr>
              <w:widowControl/>
              <w:spacing w:line="240" w:lineRule="auto"/>
              <w:ind w:left="0" w:leftChars="0" w:firstLine="240" w:firstLineChars="1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36755389">
            <w:pPr>
              <w:widowControl/>
              <w:spacing w:line="240" w:lineRule="auto"/>
              <w:ind w:left="0" w:leftChars="0" w:firstLine="0" w:firstLineChars="0"/>
              <w:jc w:val="both"/>
              <w:rPr>
                <w:rFonts w:hint="eastAsia" w:ascii="仿宋" w:hAnsi="仿宋" w:eastAsia="仿宋" w:cs="仿宋"/>
                <w:sz w:val="24"/>
                <w:szCs w:val="24"/>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75CE4E12">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3307D9B5">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电</w:t>
            </w:r>
          </w:p>
        </w:tc>
      </w:tr>
      <w:tr w14:paraId="3B07E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4BCFBDE7">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3</w:t>
            </w:r>
          </w:p>
        </w:tc>
        <w:tc>
          <w:tcPr>
            <w:tcW w:w="2158" w:type="dxa"/>
            <w:tcBorders>
              <w:top w:val="single" w:color="auto" w:sz="4" w:space="0"/>
              <w:left w:val="single" w:color="auto" w:sz="4" w:space="0"/>
              <w:bottom w:val="single" w:color="auto" w:sz="4" w:space="0"/>
              <w:right w:val="single" w:color="auto" w:sz="4" w:space="0"/>
            </w:tcBorders>
            <w:vAlign w:val="center"/>
          </w:tcPr>
          <w:p w14:paraId="2D05592E">
            <w:pPr>
              <w:widowControl/>
              <w:spacing w:line="240" w:lineRule="auto"/>
              <w:ind w:firstLine="480" w:firstLineChars="2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亚磷酸泵</w:t>
            </w:r>
          </w:p>
        </w:tc>
        <w:tc>
          <w:tcPr>
            <w:tcW w:w="2300" w:type="dxa"/>
            <w:tcBorders>
              <w:top w:val="single" w:color="auto" w:sz="4" w:space="0"/>
              <w:left w:val="single" w:color="auto" w:sz="4" w:space="0"/>
              <w:bottom w:val="single" w:color="auto" w:sz="4" w:space="0"/>
              <w:right w:val="single" w:color="auto" w:sz="4" w:space="0"/>
            </w:tcBorders>
            <w:vAlign w:val="center"/>
          </w:tcPr>
          <w:p w14:paraId="4497E966">
            <w:pPr>
              <w:widowControl/>
              <w:spacing w:line="240" w:lineRule="auto"/>
              <w:ind w:left="0" w:leftChars="0" w:firstLine="240" w:firstLineChars="1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08ED7778">
            <w:pPr>
              <w:widowControl/>
              <w:spacing w:line="240" w:lineRule="auto"/>
              <w:ind w:left="0" w:leftChars="0" w:firstLine="0" w:firstLineChars="0"/>
              <w:jc w:val="both"/>
              <w:rPr>
                <w:rFonts w:hint="eastAsia" w:ascii="仿宋" w:hAnsi="仿宋" w:eastAsia="仿宋" w:cs="仿宋"/>
                <w:sz w:val="24"/>
                <w:szCs w:val="24"/>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638254FF">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6EFDBDC0">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电</w:t>
            </w:r>
          </w:p>
        </w:tc>
      </w:tr>
      <w:tr w14:paraId="48B57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5882185C">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4</w:t>
            </w:r>
          </w:p>
        </w:tc>
        <w:tc>
          <w:tcPr>
            <w:tcW w:w="2158" w:type="dxa"/>
            <w:tcBorders>
              <w:top w:val="single" w:color="auto" w:sz="4" w:space="0"/>
              <w:left w:val="single" w:color="auto" w:sz="4" w:space="0"/>
              <w:bottom w:val="single" w:color="auto" w:sz="4" w:space="0"/>
              <w:right w:val="single" w:color="auto" w:sz="4" w:space="0"/>
            </w:tcBorders>
            <w:vAlign w:val="center"/>
          </w:tcPr>
          <w:p w14:paraId="7C091127">
            <w:pPr>
              <w:widowControl/>
              <w:spacing w:line="240" w:lineRule="auto"/>
              <w:ind w:firstLine="480" w:firstLineChars="2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转料泵</w:t>
            </w:r>
          </w:p>
        </w:tc>
        <w:tc>
          <w:tcPr>
            <w:tcW w:w="2300" w:type="dxa"/>
            <w:tcBorders>
              <w:top w:val="single" w:color="auto" w:sz="4" w:space="0"/>
              <w:left w:val="single" w:color="auto" w:sz="4" w:space="0"/>
              <w:bottom w:val="single" w:color="auto" w:sz="4" w:space="0"/>
              <w:right w:val="single" w:color="auto" w:sz="4" w:space="0"/>
            </w:tcBorders>
            <w:vAlign w:val="center"/>
          </w:tcPr>
          <w:p w14:paraId="2040883C">
            <w:pPr>
              <w:widowControl/>
              <w:spacing w:line="240" w:lineRule="auto"/>
              <w:ind w:left="0" w:leftChars="0" w:firstLine="240" w:firstLineChars="1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719E5594">
            <w:pPr>
              <w:widowControl/>
              <w:spacing w:line="240" w:lineRule="auto"/>
              <w:ind w:left="0" w:leftChars="0" w:firstLine="0" w:firstLineChars="0"/>
              <w:jc w:val="both"/>
              <w:rPr>
                <w:rFonts w:hint="eastAsia" w:ascii="仿宋" w:hAnsi="仿宋" w:eastAsia="仿宋" w:cs="仿宋"/>
                <w:sz w:val="24"/>
                <w:szCs w:val="24"/>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496832D1">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3562564C">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电</w:t>
            </w:r>
          </w:p>
        </w:tc>
      </w:tr>
      <w:tr w14:paraId="6FC0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6A98E93D">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5</w:t>
            </w:r>
          </w:p>
        </w:tc>
        <w:tc>
          <w:tcPr>
            <w:tcW w:w="2158" w:type="dxa"/>
            <w:tcBorders>
              <w:top w:val="single" w:color="auto" w:sz="4" w:space="0"/>
              <w:left w:val="single" w:color="auto" w:sz="4" w:space="0"/>
              <w:bottom w:val="single" w:color="auto" w:sz="4" w:space="0"/>
              <w:right w:val="single" w:color="auto" w:sz="4" w:space="0"/>
            </w:tcBorders>
            <w:vAlign w:val="center"/>
          </w:tcPr>
          <w:p w14:paraId="444194DC">
            <w:pPr>
              <w:widowControl/>
              <w:spacing w:line="240" w:lineRule="auto"/>
              <w:ind w:firstLine="480" w:firstLineChars="2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盐酸泵</w:t>
            </w:r>
          </w:p>
        </w:tc>
        <w:tc>
          <w:tcPr>
            <w:tcW w:w="2300" w:type="dxa"/>
            <w:tcBorders>
              <w:top w:val="single" w:color="auto" w:sz="4" w:space="0"/>
              <w:left w:val="single" w:color="auto" w:sz="4" w:space="0"/>
              <w:bottom w:val="single" w:color="auto" w:sz="4" w:space="0"/>
              <w:right w:val="single" w:color="auto" w:sz="4" w:space="0"/>
            </w:tcBorders>
            <w:vAlign w:val="center"/>
          </w:tcPr>
          <w:p w14:paraId="4D1EA4B3">
            <w:pPr>
              <w:widowControl/>
              <w:spacing w:line="240" w:lineRule="auto"/>
              <w:ind w:left="0" w:leftChars="0" w:firstLine="240" w:firstLineChars="100"/>
              <w:jc w:val="both"/>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4477C5A6">
            <w:pPr>
              <w:widowControl/>
              <w:spacing w:line="240" w:lineRule="auto"/>
              <w:ind w:left="0" w:leftChars="0" w:firstLine="0" w:firstLineChars="0"/>
              <w:jc w:val="both"/>
              <w:rPr>
                <w:rFonts w:hint="eastAsia" w:ascii="仿宋" w:hAnsi="仿宋" w:eastAsia="仿宋" w:cs="仿宋"/>
                <w:sz w:val="24"/>
                <w:szCs w:val="24"/>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07CB755C">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6ED5DCAF">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电</w:t>
            </w:r>
          </w:p>
        </w:tc>
      </w:tr>
      <w:tr w14:paraId="5644D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4F8522EC">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6</w:t>
            </w:r>
          </w:p>
        </w:tc>
        <w:tc>
          <w:tcPr>
            <w:tcW w:w="2158" w:type="dxa"/>
            <w:tcBorders>
              <w:top w:val="single" w:color="auto" w:sz="4" w:space="0"/>
              <w:left w:val="single" w:color="auto" w:sz="4" w:space="0"/>
              <w:bottom w:val="single" w:color="auto" w:sz="4" w:space="0"/>
              <w:right w:val="single" w:color="auto" w:sz="4" w:space="0"/>
            </w:tcBorders>
            <w:vAlign w:val="center"/>
          </w:tcPr>
          <w:p w14:paraId="3409AE56">
            <w:pPr>
              <w:widowControl/>
              <w:spacing w:line="240" w:lineRule="auto"/>
              <w:ind w:firstLine="480" w:firstLineChars="2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母液泵</w:t>
            </w:r>
          </w:p>
        </w:tc>
        <w:tc>
          <w:tcPr>
            <w:tcW w:w="2300" w:type="dxa"/>
            <w:tcBorders>
              <w:top w:val="single" w:color="auto" w:sz="4" w:space="0"/>
              <w:left w:val="single" w:color="auto" w:sz="4" w:space="0"/>
              <w:bottom w:val="single" w:color="auto" w:sz="4" w:space="0"/>
              <w:right w:val="single" w:color="auto" w:sz="4" w:space="0"/>
            </w:tcBorders>
            <w:vAlign w:val="center"/>
          </w:tcPr>
          <w:p w14:paraId="3240A3D6">
            <w:pPr>
              <w:widowControl/>
              <w:spacing w:line="240" w:lineRule="auto"/>
              <w:ind w:left="0" w:leftChars="0" w:firstLine="240" w:firstLineChars="100"/>
              <w:jc w:val="both"/>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1A0A04B2">
            <w:pPr>
              <w:widowControl/>
              <w:spacing w:line="240" w:lineRule="auto"/>
              <w:ind w:left="0" w:leftChars="0" w:firstLine="0" w:firstLineChars="0"/>
              <w:jc w:val="both"/>
              <w:rPr>
                <w:rFonts w:hint="eastAsia" w:ascii="仿宋" w:hAnsi="仿宋" w:eastAsia="仿宋" w:cs="仿宋"/>
                <w:sz w:val="24"/>
                <w:szCs w:val="24"/>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6BD1A37A">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1C874242">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电</w:t>
            </w:r>
          </w:p>
        </w:tc>
      </w:tr>
      <w:tr w14:paraId="01A95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0B90FB34">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7</w:t>
            </w:r>
          </w:p>
        </w:tc>
        <w:tc>
          <w:tcPr>
            <w:tcW w:w="2158" w:type="dxa"/>
            <w:tcBorders>
              <w:top w:val="single" w:color="auto" w:sz="4" w:space="0"/>
              <w:left w:val="single" w:color="auto" w:sz="4" w:space="0"/>
              <w:bottom w:val="single" w:color="auto" w:sz="4" w:space="0"/>
              <w:right w:val="single" w:color="auto" w:sz="4" w:space="0"/>
            </w:tcBorders>
            <w:vAlign w:val="center"/>
          </w:tcPr>
          <w:p w14:paraId="597693E6">
            <w:pPr>
              <w:widowControl/>
              <w:spacing w:line="240" w:lineRule="auto"/>
              <w:ind w:firstLine="480" w:firstLineChars="2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亚磷酸泵</w:t>
            </w:r>
          </w:p>
        </w:tc>
        <w:tc>
          <w:tcPr>
            <w:tcW w:w="2300" w:type="dxa"/>
            <w:tcBorders>
              <w:top w:val="single" w:color="auto" w:sz="4" w:space="0"/>
              <w:left w:val="single" w:color="auto" w:sz="4" w:space="0"/>
              <w:bottom w:val="single" w:color="auto" w:sz="4" w:space="0"/>
              <w:right w:val="single" w:color="auto" w:sz="4" w:space="0"/>
            </w:tcBorders>
            <w:vAlign w:val="center"/>
          </w:tcPr>
          <w:p w14:paraId="43978D75">
            <w:pPr>
              <w:widowControl/>
              <w:spacing w:line="240" w:lineRule="auto"/>
              <w:ind w:left="0" w:leftChars="0" w:firstLine="240" w:firstLineChars="100"/>
              <w:jc w:val="both"/>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791451EE">
            <w:pPr>
              <w:widowControl/>
              <w:spacing w:line="240" w:lineRule="auto"/>
              <w:ind w:left="0" w:leftChars="0" w:firstLine="0" w:firstLineChars="0"/>
              <w:jc w:val="both"/>
              <w:rPr>
                <w:rFonts w:hint="eastAsia" w:ascii="仿宋" w:hAnsi="仿宋" w:eastAsia="仿宋" w:cs="仿宋"/>
                <w:sz w:val="24"/>
                <w:szCs w:val="24"/>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58A56F30">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54CE28B4">
            <w:pPr>
              <w:pStyle w:val="66"/>
              <w:adjustRightInd/>
              <w:spacing w:line="240" w:lineRule="auto"/>
              <w:jc w:val="center"/>
              <w:rPr>
                <w:rFonts w:hint="eastAsia" w:ascii="仿宋" w:hAnsi="仿宋" w:eastAsia="仿宋" w:cs="仿宋"/>
                <w:sz w:val="24"/>
                <w:szCs w:val="24"/>
              </w:rPr>
            </w:pPr>
            <w:r>
              <w:rPr>
                <w:rFonts w:hint="eastAsia" w:ascii="仿宋" w:hAnsi="仿宋" w:eastAsia="仿宋" w:cs="仿宋"/>
                <w:sz w:val="24"/>
                <w:szCs w:val="24"/>
              </w:rPr>
              <w:t>电</w:t>
            </w:r>
          </w:p>
        </w:tc>
      </w:tr>
      <w:tr w14:paraId="27C6C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2BBC358B">
            <w:pPr>
              <w:pStyle w:val="66"/>
              <w:adjustRightInd/>
              <w:spacing w:line="240" w:lineRule="auto"/>
              <w:jc w:val="center"/>
              <w:rPr>
                <w:rFonts w:hint="eastAsia" w:ascii="仿宋" w:hAnsi="仿宋" w:eastAsia="仿宋" w:cs="仿宋"/>
                <w:sz w:val="24"/>
                <w:szCs w:val="24"/>
                <w:lang w:val="en-US" w:eastAsia="zh-CN"/>
              </w:rPr>
            </w:pPr>
            <w:bookmarkStart w:id="193" w:name="_Toc23337_WPSOffice_Level3"/>
            <w:bookmarkStart w:id="194" w:name="_Toc19976_WPSOffice_Level3"/>
            <w:bookmarkStart w:id="195" w:name="_Toc12174_WPSOffice_Level3"/>
            <w:bookmarkStart w:id="196" w:name="_Toc32313_WPSOffice_Level3"/>
            <w:r>
              <w:rPr>
                <w:rFonts w:hint="eastAsia" w:ascii="仿宋" w:hAnsi="仿宋" w:eastAsia="仿宋" w:cs="仿宋"/>
                <w:sz w:val="24"/>
                <w:szCs w:val="24"/>
                <w:lang w:val="en-US" w:eastAsia="zh-CN"/>
              </w:rPr>
              <w:t>8</w:t>
            </w:r>
          </w:p>
        </w:tc>
        <w:tc>
          <w:tcPr>
            <w:tcW w:w="2158" w:type="dxa"/>
            <w:tcBorders>
              <w:top w:val="single" w:color="auto" w:sz="4" w:space="0"/>
              <w:left w:val="single" w:color="auto" w:sz="4" w:space="0"/>
              <w:bottom w:val="single" w:color="auto" w:sz="4" w:space="0"/>
              <w:right w:val="single" w:color="auto" w:sz="4" w:space="0"/>
            </w:tcBorders>
            <w:vAlign w:val="center"/>
          </w:tcPr>
          <w:p w14:paraId="7272579C">
            <w:pPr>
              <w:widowControl/>
              <w:spacing w:line="240" w:lineRule="auto"/>
              <w:ind w:firstLine="480" w:firstLineChars="2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真空泵</w:t>
            </w:r>
          </w:p>
        </w:tc>
        <w:tc>
          <w:tcPr>
            <w:tcW w:w="2300" w:type="dxa"/>
            <w:tcBorders>
              <w:top w:val="single" w:color="auto" w:sz="4" w:space="0"/>
              <w:left w:val="single" w:color="auto" w:sz="4" w:space="0"/>
              <w:bottom w:val="single" w:color="auto" w:sz="4" w:space="0"/>
              <w:right w:val="single" w:color="auto" w:sz="4" w:space="0"/>
            </w:tcBorders>
            <w:vAlign w:val="center"/>
          </w:tcPr>
          <w:p w14:paraId="4F844E4D">
            <w:pPr>
              <w:widowControl/>
              <w:spacing w:line="240" w:lineRule="auto"/>
              <w:ind w:left="0" w:leftChars="0" w:firstLine="0" w:firstLineChars="0"/>
              <w:jc w:val="center"/>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rPr>
              <w:t>CQB50-40-125F</w:t>
            </w:r>
          </w:p>
        </w:tc>
        <w:tc>
          <w:tcPr>
            <w:tcW w:w="1212" w:type="dxa"/>
            <w:tcBorders>
              <w:top w:val="single" w:color="auto" w:sz="4" w:space="0"/>
              <w:left w:val="single" w:color="auto" w:sz="4" w:space="0"/>
              <w:bottom w:val="single" w:color="auto" w:sz="4" w:space="0"/>
              <w:right w:val="single" w:color="auto" w:sz="4" w:space="0"/>
            </w:tcBorders>
            <w:vAlign w:val="center"/>
          </w:tcPr>
          <w:p w14:paraId="5FB607CD">
            <w:pPr>
              <w:widowControl/>
              <w:spacing w:line="240" w:lineRule="auto"/>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021F7B41">
            <w:pPr>
              <w:pStyle w:val="66"/>
              <w:adjustRightInd/>
              <w:spacing w:line="24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35603187">
            <w:pPr>
              <w:pStyle w:val="66"/>
              <w:adjustRightInd/>
              <w:spacing w:line="24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w:t>
            </w:r>
          </w:p>
        </w:tc>
      </w:tr>
      <w:tr w14:paraId="40ECE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2A0EC885">
            <w:pPr>
              <w:pStyle w:val="66"/>
              <w:adjustRightInd/>
              <w:spacing w:line="24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w:t>
            </w:r>
          </w:p>
        </w:tc>
        <w:tc>
          <w:tcPr>
            <w:tcW w:w="2158" w:type="dxa"/>
            <w:tcBorders>
              <w:top w:val="single" w:color="auto" w:sz="4" w:space="0"/>
              <w:left w:val="single" w:color="auto" w:sz="4" w:space="0"/>
              <w:bottom w:val="single" w:color="auto" w:sz="4" w:space="0"/>
              <w:right w:val="single" w:color="auto" w:sz="4" w:space="0"/>
            </w:tcBorders>
            <w:vAlign w:val="center"/>
          </w:tcPr>
          <w:p w14:paraId="4D74068E">
            <w:pPr>
              <w:widowControl/>
              <w:spacing w:line="240" w:lineRule="auto"/>
              <w:ind w:firstLine="480" w:firstLineChars="200"/>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热水泵</w:t>
            </w:r>
          </w:p>
        </w:tc>
        <w:tc>
          <w:tcPr>
            <w:tcW w:w="2300" w:type="dxa"/>
            <w:tcBorders>
              <w:top w:val="single" w:color="auto" w:sz="4" w:space="0"/>
              <w:left w:val="single" w:color="auto" w:sz="4" w:space="0"/>
              <w:bottom w:val="single" w:color="auto" w:sz="4" w:space="0"/>
              <w:right w:val="single" w:color="auto" w:sz="4" w:space="0"/>
            </w:tcBorders>
            <w:vAlign w:val="center"/>
          </w:tcPr>
          <w:p w14:paraId="2528E5F8">
            <w:pPr>
              <w:widowControl/>
              <w:spacing w:line="240" w:lineRule="auto"/>
              <w:ind w:left="0" w:leftChars="0" w:firstLine="240" w:firstLineChars="1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6132D5F4">
            <w:pPr>
              <w:widowControl/>
              <w:spacing w:line="240" w:lineRule="auto"/>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01F097A2">
            <w:pPr>
              <w:pStyle w:val="66"/>
              <w:adjustRightInd/>
              <w:spacing w:line="24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3A4EBF0B">
            <w:pPr>
              <w:pStyle w:val="66"/>
              <w:adjustRightInd/>
              <w:spacing w:line="24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热</w:t>
            </w:r>
          </w:p>
        </w:tc>
      </w:tr>
      <w:tr w14:paraId="2ECE3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34A97583">
            <w:pPr>
              <w:pStyle w:val="66"/>
              <w:adjustRightInd/>
              <w:spacing w:line="24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2158" w:type="dxa"/>
            <w:tcBorders>
              <w:top w:val="single" w:color="auto" w:sz="4" w:space="0"/>
              <w:left w:val="single" w:color="auto" w:sz="4" w:space="0"/>
              <w:bottom w:val="single" w:color="auto" w:sz="4" w:space="0"/>
              <w:right w:val="single" w:color="auto" w:sz="4" w:space="0"/>
            </w:tcBorders>
            <w:vAlign w:val="center"/>
          </w:tcPr>
          <w:p w14:paraId="43A103E5">
            <w:pPr>
              <w:widowControl/>
              <w:spacing w:line="240" w:lineRule="auto"/>
              <w:ind w:firstLine="480" w:firstLineChars="200"/>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压磷酸泵</w:t>
            </w:r>
          </w:p>
        </w:tc>
        <w:tc>
          <w:tcPr>
            <w:tcW w:w="2300" w:type="dxa"/>
            <w:tcBorders>
              <w:top w:val="single" w:color="auto" w:sz="4" w:space="0"/>
              <w:left w:val="single" w:color="auto" w:sz="4" w:space="0"/>
              <w:bottom w:val="single" w:color="auto" w:sz="4" w:space="0"/>
              <w:right w:val="single" w:color="auto" w:sz="4" w:space="0"/>
            </w:tcBorders>
            <w:vAlign w:val="center"/>
          </w:tcPr>
          <w:p w14:paraId="1CA7CC1C">
            <w:pPr>
              <w:widowControl/>
              <w:spacing w:line="240" w:lineRule="auto"/>
              <w:ind w:left="0" w:leftChars="0" w:firstLine="240" w:firstLineChars="1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5DA77C9B">
            <w:pPr>
              <w:widowControl/>
              <w:spacing w:line="240" w:lineRule="auto"/>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6A9033A7">
            <w:pPr>
              <w:pStyle w:val="66"/>
              <w:adjustRightInd/>
              <w:spacing w:line="24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2D058A69">
            <w:pPr>
              <w:pStyle w:val="66"/>
              <w:adjustRightInd/>
              <w:spacing w:line="24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w:t>
            </w:r>
          </w:p>
        </w:tc>
      </w:tr>
      <w:tr w14:paraId="56705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497A752D">
            <w:pPr>
              <w:pStyle w:val="66"/>
              <w:adjustRightInd/>
              <w:spacing w:line="24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w:t>
            </w:r>
          </w:p>
        </w:tc>
        <w:tc>
          <w:tcPr>
            <w:tcW w:w="2158" w:type="dxa"/>
            <w:tcBorders>
              <w:top w:val="single" w:color="auto" w:sz="4" w:space="0"/>
              <w:left w:val="single" w:color="auto" w:sz="4" w:space="0"/>
              <w:bottom w:val="single" w:color="auto" w:sz="4" w:space="0"/>
              <w:right w:val="single" w:color="auto" w:sz="4" w:space="0"/>
            </w:tcBorders>
            <w:vAlign w:val="center"/>
          </w:tcPr>
          <w:p w14:paraId="6593B8B8">
            <w:pPr>
              <w:widowControl/>
              <w:spacing w:line="240" w:lineRule="auto"/>
              <w:ind w:firstLine="480" w:firstLineChars="200"/>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压缩机</w:t>
            </w:r>
          </w:p>
        </w:tc>
        <w:tc>
          <w:tcPr>
            <w:tcW w:w="2300" w:type="dxa"/>
            <w:tcBorders>
              <w:top w:val="single" w:color="auto" w:sz="4" w:space="0"/>
              <w:left w:val="single" w:color="auto" w:sz="4" w:space="0"/>
              <w:bottom w:val="single" w:color="auto" w:sz="4" w:space="0"/>
              <w:right w:val="single" w:color="auto" w:sz="4" w:space="0"/>
            </w:tcBorders>
            <w:vAlign w:val="center"/>
          </w:tcPr>
          <w:p w14:paraId="0B53A289">
            <w:pPr>
              <w:widowControl/>
              <w:spacing w:line="240" w:lineRule="auto"/>
              <w:ind w:left="0" w:leftChars="0" w:firstLine="480" w:firstLineChars="2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LW-8.6/8</w:t>
            </w:r>
          </w:p>
        </w:tc>
        <w:tc>
          <w:tcPr>
            <w:tcW w:w="1212" w:type="dxa"/>
            <w:tcBorders>
              <w:top w:val="single" w:color="auto" w:sz="4" w:space="0"/>
              <w:left w:val="single" w:color="auto" w:sz="4" w:space="0"/>
              <w:bottom w:val="single" w:color="auto" w:sz="4" w:space="0"/>
              <w:right w:val="single" w:color="auto" w:sz="4" w:space="0"/>
            </w:tcBorders>
            <w:vAlign w:val="center"/>
          </w:tcPr>
          <w:p w14:paraId="439DBC6E">
            <w:pPr>
              <w:widowControl/>
              <w:spacing w:line="240" w:lineRule="auto"/>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799D3545">
            <w:pPr>
              <w:pStyle w:val="66"/>
              <w:adjustRightInd/>
              <w:spacing w:line="24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037C15A1">
            <w:pPr>
              <w:pStyle w:val="66"/>
              <w:adjustRightInd/>
              <w:spacing w:line="24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w:t>
            </w:r>
          </w:p>
        </w:tc>
      </w:tr>
      <w:tr w14:paraId="3CAD4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3842DB2E">
            <w:pPr>
              <w:pStyle w:val="66"/>
              <w:adjustRightInd/>
              <w:jc w:val="both"/>
              <w:rPr>
                <w:rFonts w:hint="default" w:ascii="仿宋" w:hAnsi="仿宋" w:eastAsia="仿宋" w:cs="仿宋"/>
                <w:lang w:val="en-US" w:eastAsia="zh-CN"/>
              </w:rPr>
            </w:pPr>
            <w:r>
              <w:rPr>
                <w:rFonts w:hint="eastAsia" w:ascii="仿宋" w:hAnsi="仿宋" w:eastAsia="仿宋" w:cs="仿宋"/>
                <w:lang w:val="en-US" w:eastAsia="zh-CN"/>
              </w:rPr>
              <w:t>12</w:t>
            </w:r>
          </w:p>
        </w:tc>
        <w:tc>
          <w:tcPr>
            <w:tcW w:w="2158" w:type="dxa"/>
            <w:tcBorders>
              <w:top w:val="single" w:color="auto" w:sz="4" w:space="0"/>
              <w:left w:val="single" w:color="auto" w:sz="4" w:space="0"/>
              <w:bottom w:val="single" w:color="auto" w:sz="4" w:space="0"/>
              <w:right w:val="single" w:color="auto" w:sz="4" w:space="0"/>
            </w:tcBorders>
            <w:vAlign w:val="center"/>
          </w:tcPr>
          <w:p w14:paraId="68047E86">
            <w:pPr>
              <w:widowControl/>
              <w:ind w:firstLine="480" w:firstLineChars="200"/>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压缩机</w:t>
            </w:r>
          </w:p>
        </w:tc>
        <w:tc>
          <w:tcPr>
            <w:tcW w:w="2300" w:type="dxa"/>
            <w:tcBorders>
              <w:top w:val="single" w:color="auto" w:sz="4" w:space="0"/>
              <w:left w:val="single" w:color="auto" w:sz="4" w:space="0"/>
              <w:bottom w:val="single" w:color="auto" w:sz="4" w:space="0"/>
              <w:right w:val="single" w:color="auto" w:sz="4" w:space="0"/>
            </w:tcBorders>
            <w:vAlign w:val="center"/>
          </w:tcPr>
          <w:p w14:paraId="5FFA4102">
            <w:pPr>
              <w:widowControl/>
              <w:ind w:left="0" w:leftChars="0" w:firstLine="0" w:firstLineChars="0"/>
              <w:jc w:val="center"/>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DW-8.6/(0-0.2)-8</w:t>
            </w:r>
          </w:p>
        </w:tc>
        <w:tc>
          <w:tcPr>
            <w:tcW w:w="1212" w:type="dxa"/>
            <w:tcBorders>
              <w:top w:val="single" w:color="auto" w:sz="4" w:space="0"/>
              <w:left w:val="single" w:color="auto" w:sz="4" w:space="0"/>
              <w:bottom w:val="single" w:color="auto" w:sz="4" w:space="0"/>
              <w:right w:val="single" w:color="auto" w:sz="4" w:space="0"/>
            </w:tcBorders>
            <w:vAlign w:val="center"/>
          </w:tcPr>
          <w:p w14:paraId="183D8BFB">
            <w:pPr>
              <w:widowControl/>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748D8CD5">
            <w:pPr>
              <w:pStyle w:val="66"/>
              <w:adjustRightInd/>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56287F48">
            <w:pPr>
              <w:pStyle w:val="66"/>
              <w:adjustRightInd/>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w:t>
            </w:r>
          </w:p>
        </w:tc>
      </w:tr>
      <w:tr w14:paraId="6E584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0862F178">
            <w:pPr>
              <w:pStyle w:val="66"/>
              <w:adjustRightInd/>
              <w:jc w:val="both"/>
              <w:rPr>
                <w:rFonts w:hint="default" w:ascii="仿宋" w:hAnsi="仿宋" w:eastAsia="仿宋" w:cs="仿宋"/>
                <w:lang w:val="en-US" w:eastAsia="zh-CN"/>
              </w:rPr>
            </w:pPr>
            <w:r>
              <w:rPr>
                <w:rFonts w:hint="eastAsia" w:ascii="仿宋" w:hAnsi="仿宋" w:eastAsia="仿宋" w:cs="仿宋"/>
                <w:lang w:val="en-US" w:eastAsia="zh-CN"/>
              </w:rPr>
              <w:t>13</w:t>
            </w:r>
          </w:p>
        </w:tc>
        <w:tc>
          <w:tcPr>
            <w:tcW w:w="2158" w:type="dxa"/>
            <w:tcBorders>
              <w:top w:val="single" w:color="auto" w:sz="4" w:space="0"/>
              <w:left w:val="single" w:color="auto" w:sz="4" w:space="0"/>
              <w:bottom w:val="single" w:color="auto" w:sz="4" w:space="0"/>
              <w:right w:val="single" w:color="auto" w:sz="4" w:space="0"/>
            </w:tcBorders>
            <w:vAlign w:val="center"/>
          </w:tcPr>
          <w:p w14:paraId="7EC136AD">
            <w:pPr>
              <w:widowControl/>
              <w:ind w:firstLine="480" w:firstLineChars="200"/>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盐酸泵</w:t>
            </w:r>
          </w:p>
        </w:tc>
        <w:tc>
          <w:tcPr>
            <w:tcW w:w="2300" w:type="dxa"/>
            <w:tcBorders>
              <w:top w:val="single" w:color="auto" w:sz="4" w:space="0"/>
              <w:left w:val="single" w:color="auto" w:sz="4" w:space="0"/>
              <w:bottom w:val="single" w:color="auto" w:sz="4" w:space="0"/>
              <w:right w:val="single" w:color="auto" w:sz="4" w:space="0"/>
            </w:tcBorders>
            <w:vAlign w:val="center"/>
          </w:tcPr>
          <w:p w14:paraId="7E75C1F6">
            <w:pPr>
              <w:widowControl/>
              <w:ind w:left="0" w:leftChars="0" w:firstLine="240" w:firstLineChars="1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6C854EC5">
            <w:pPr>
              <w:widowControl/>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73357187">
            <w:pPr>
              <w:pStyle w:val="66"/>
              <w:adjustRightInd/>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4789C2B6">
            <w:pPr>
              <w:pStyle w:val="66"/>
              <w:adjustRightInd/>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w:t>
            </w:r>
          </w:p>
        </w:tc>
      </w:tr>
      <w:tr w14:paraId="272CF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6E4C9F48">
            <w:pPr>
              <w:pStyle w:val="66"/>
              <w:adjustRightInd/>
              <w:jc w:val="both"/>
              <w:rPr>
                <w:rFonts w:hint="default" w:ascii="仿宋" w:hAnsi="仿宋" w:eastAsia="仿宋" w:cs="仿宋"/>
                <w:lang w:val="en-US" w:eastAsia="zh-CN"/>
              </w:rPr>
            </w:pPr>
            <w:r>
              <w:rPr>
                <w:rFonts w:hint="eastAsia" w:ascii="仿宋" w:hAnsi="仿宋" w:eastAsia="仿宋" w:cs="仿宋"/>
                <w:lang w:val="en-US" w:eastAsia="zh-CN"/>
              </w:rPr>
              <w:t>14</w:t>
            </w:r>
          </w:p>
        </w:tc>
        <w:tc>
          <w:tcPr>
            <w:tcW w:w="2158" w:type="dxa"/>
            <w:tcBorders>
              <w:top w:val="single" w:color="auto" w:sz="4" w:space="0"/>
              <w:left w:val="single" w:color="auto" w:sz="4" w:space="0"/>
              <w:bottom w:val="single" w:color="auto" w:sz="4" w:space="0"/>
              <w:right w:val="single" w:color="auto" w:sz="4" w:space="0"/>
            </w:tcBorders>
            <w:vAlign w:val="center"/>
          </w:tcPr>
          <w:p w14:paraId="0C23C15A">
            <w:pPr>
              <w:widowControl/>
              <w:ind w:firstLine="480" w:firstLineChars="200"/>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水循环泵</w:t>
            </w:r>
          </w:p>
        </w:tc>
        <w:tc>
          <w:tcPr>
            <w:tcW w:w="2300" w:type="dxa"/>
            <w:tcBorders>
              <w:top w:val="single" w:color="auto" w:sz="4" w:space="0"/>
              <w:left w:val="single" w:color="auto" w:sz="4" w:space="0"/>
              <w:bottom w:val="single" w:color="auto" w:sz="4" w:space="0"/>
              <w:right w:val="single" w:color="auto" w:sz="4" w:space="0"/>
            </w:tcBorders>
            <w:vAlign w:val="center"/>
          </w:tcPr>
          <w:p w14:paraId="54C28A07">
            <w:pPr>
              <w:widowControl/>
              <w:ind w:left="0" w:leftChars="0" w:firstLine="240" w:firstLineChars="1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rPr>
              <w:t>CQB50-40-125F</w:t>
            </w:r>
          </w:p>
        </w:tc>
        <w:tc>
          <w:tcPr>
            <w:tcW w:w="1212" w:type="dxa"/>
            <w:tcBorders>
              <w:top w:val="single" w:color="auto" w:sz="4" w:space="0"/>
              <w:left w:val="single" w:color="auto" w:sz="4" w:space="0"/>
              <w:bottom w:val="single" w:color="auto" w:sz="4" w:space="0"/>
              <w:right w:val="single" w:color="auto" w:sz="4" w:space="0"/>
            </w:tcBorders>
            <w:vAlign w:val="center"/>
          </w:tcPr>
          <w:p w14:paraId="2FEBCBB5">
            <w:pPr>
              <w:widowControl/>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3CF0D743">
            <w:pPr>
              <w:pStyle w:val="66"/>
              <w:adjustRightInd/>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6A2F7A55">
            <w:pPr>
              <w:pStyle w:val="66"/>
              <w:adjustRightInd/>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w:t>
            </w:r>
          </w:p>
        </w:tc>
      </w:tr>
      <w:tr w14:paraId="2B76C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4EC80F30">
            <w:pPr>
              <w:pStyle w:val="66"/>
              <w:adjustRightInd/>
              <w:jc w:val="both"/>
              <w:rPr>
                <w:rFonts w:hint="default" w:ascii="仿宋" w:hAnsi="仿宋" w:eastAsia="仿宋" w:cs="仿宋"/>
                <w:lang w:val="en-US" w:eastAsia="zh-CN"/>
              </w:rPr>
            </w:pPr>
            <w:r>
              <w:rPr>
                <w:rFonts w:hint="eastAsia" w:ascii="仿宋" w:hAnsi="仿宋" w:eastAsia="仿宋" w:cs="仿宋"/>
                <w:lang w:val="en-US" w:eastAsia="zh-CN"/>
              </w:rPr>
              <w:t>15</w:t>
            </w:r>
          </w:p>
        </w:tc>
        <w:tc>
          <w:tcPr>
            <w:tcW w:w="2158" w:type="dxa"/>
            <w:tcBorders>
              <w:top w:val="single" w:color="auto" w:sz="4" w:space="0"/>
              <w:left w:val="single" w:color="auto" w:sz="4" w:space="0"/>
              <w:bottom w:val="single" w:color="auto" w:sz="4" w:space="0"/>
              <w:right w:val="single" w:color="auto" w:sz="4" w:space="0"/>
            </w:tcBorders>
            <w:vAlign w:val="center"/>
          </w:tcPr>
          <w:p w14:paraId="51EB0FAF">
            <w:pPr>
              <w:widowControl/>
              <w:ind w:firstLine="480" w:firstLineChars="200"/>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碱循环泵</w:t>
            </w:r>
          </w:p>
        </w:tc>
        <w:tc>
          <w:tcPr>
            <w:tcW w:w="2300" w:type="dxa"/>
            <w:tcBorders>
              <w:top w:val="single" w:color="auto" w:sz="4" w:space="0"/>
              <w:left w:val="single" w:color="auto" w:sz="4" w:space="0"/>
              <w:bottom w:val="single" w:color="auto" w:sz="4" w:space="0"/>
              <w:right w:val="single" w:color="auto" w:sz="4" w:space="0"/>
            </w:tcBorders>
            <w:vAlign w:val="center"/>
          </w:tcPr>
          <w:p w14:paraId="5D29EBCF">
            <w:pPr>
              <w:widowControl/>
              <w:ind w:left="0" w:leftChars="0" w:firstLine="240" w:firstLineChars="1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rPr>
              <w:t>CQB50-40-125F</w:t>
            </w:r>
          </w:p>
        </w:tc>
        <w:tc>
          <w:tcPr>
            <w:tcW w:w="1212" w:type="dxa"/>
            <w:tcBorders>
              <w:top w:val="single" w:color="auto" w:sz="4" w:space="0"/>
              <w:left w:val="single" w:color="auto" w:sz="4" w:space="0"/>
              <w:bottom w:val="single" w:color="auto" w:sz="4" w:space="0"/>
              <w:right w:val="single" w:color="auto" w:sz="4" w:space="0"/>
            </w:tcBorders>
            <w:vAlign w:val="center"/>
          </w:tcPr>
          <w:p w14:paraId="124D3431">
            <w:pPr>
              <w:widowControl/>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2D9445B5">
            <w:pPr>
              <w:pStyle w:val="66"/>
              <w:adjustRightInd/>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64B7DE8D">
            <w:pPr>
              <w:pStyle w:val="66"/>
              <w:adjustRightInd/>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w:t>
            </w:r>
          </w:p>
        </w:tc>
      </w:tr>
      <w:tr w14:paraId="6ECBD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0CF8D8BF">
            <w:pPr>
              <w:pStyle w:val="66"/>
              <w:adjustRightInd/>
              <w:jc w:val="both"/>
              <w:rPr>
                <w:rFonts w:hint="default" w:ascii="仿宋" w:hAnsi="仿宋" w:eastAsia="仿宋" w:cs="仿宋"/>
                <w:lang w:val="en-US" w:eastAsia="zh-CN"/>
              </w:rPr>
            </w:pPr>
            <w:r>
              <w:rPr>
                <w:rFonts w:hint="eastAsia" w:ascii="仿宋" w:hAnsi="仿宋" w:eastAsia="仿宋" w:cs="仿宋"/>
                <w:lang w:val="en-US" w:eastAsia="zh-CN"/>
              </w:rPr>
              <w:t>16</w:t>
            </w:r>
          </w:p>
        </w:tc>
        <w:tc>
          <w:tcPr>
            <w:tcW w:w="2158" w:type="dxa"/>
            <w:tcBorders>
              <w:top w:val="single" w:color="auto" w:sz="4" w:space="0"/>
              <w:left w:val="single" w:color="auto" w:sz="4" w:space="0"/>
              <w:bottom w:val="single" w:color="auto" w:sz="4" w:space="0"/>
              <w:right w:val="single" w:color="auto" w:sz="4" w:space="0"/>
            </w:tcBorders>
            <w:vAlign w:val="center"/>
          </w:tcPr>
          <w:p w14:paraId="31F427D4">
            <w:pPr>
              <w:widowControl/>
              <w:ind w:firstLine="480" w:firstLineChars="200"/>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碱循环泵</w:t>
            </w:r>
          </w:p>
        </w:tc>
        <w:tc>
          <w:tcPr>
            <w:tcW w:w="2300" w:type="dxa"/>
            <w:tcBorders>
              <w:top w:val="single" w:color="auto" w:sz="4" w:space="0"/>
              <w:left w:val="single" w:color="auto" w:sz="4" w:space="0"/>
              <w:bottom w:val="single" w:color="auto" w:sz="4" w:space="0"/>
              <w:right w:val="single" w:color="auto" w:sz="4" w:space="0"/>
            </w:tcBorders>
            <w:vAlign w:val="center"/>
          </w:tcPr>
          <w:p w14:paraId="37DAA182">
            <w:pPr>
              <w:widowControl/>
              <w:ind w:firstLine="480" w:firstLineChars="200"/>
              <w:jc w:val="center"/>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rPr>
              <w:t>CQB50-40-125F</w:t>
            </w:r>
          </w:p>
        </w:tc>
        <w:tc>
          <w:tcPr>
            <w:tcW w:w="1212" w:type="dxa"/>
            <w:tcBorders>
              <w:top w:val="single" w:color="auto" w:sz="4" w:space="0"/>
              <w:left w:val="single" w:color="auto" w:sz="4" w:space="0"/>
              <w:bottom w:val="single" w:color="auto" w:sz="4" w:space="0"/>
              <w:right w:val="single" w:color="auto" w:sz="4" w:space="0"/>
            </w:tcBorders>
            <w:vAlign w:val="center"/>
          </w:tcPr>
          <w:p w14:paraId="4ABC7369">
            <w:pPr>
              <w:widowControl/>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35170F74">
            <w:pPr>
              <w:pStyle w:val="66"/>
              <w:adjustRightInd/>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13D57790">
            <w:pPr>
              <w:pStyle w:val="66"/>
              <w:adjustRightInd/>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w:t>
            </w:r>
          </w:p>
        </w:tc>
      </w:tr>
      <w:tr w14:paraId="65B25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2C8B786B">
            <w:pPr>
              <w:pStyle w:val="66"/>
              <w:adjustRightInd/>
              <w:jc w:val="both"/>
              <w:rPr>
                <w:rFonts w:hint="default" w:ascii="仿宋" w:hAnsi="仿宋" w:eastAsia="仿宋" w:cs="仿宋"/>
                <w:lang w:val="en-US" w:eastAsia="zh-CN"/>
              </w:rPr>
            </w:pPr>
            <w:r>
              <w:rPr>
                <w:rFonts w:hint="eastAsia" w:ascii="仿宋" w:hAnsi="仿宋" w:eastAsia="仿宋" w:cs="仿宋"/>
                <w:lang w:val="en-US" w:eastAsia="zh-CN"/>
              </w:rPr>
              <w:t>17</w:t>
            </w:r>
          </w:p>
        </w:tc>
        <w:tc>
          <w:tcPr>
            <w:tcW w:w="2158" w:type="dxa"/>
            <w:tcBorders>
              <w:top w:val="single" w:color="auto" w:sz="4" w:space="0"/>
              <w:left w:val="single" w:color="auto" w:sz="4" w:space="0"/>
              <w:bottom w:val="single" w:color="auto" w:sz="4" w:space="0"/>
              <w:right w:val="single" w:color="auto" w:sz="4" w:space="0"/>
            </w:tcBorders>
            <w:vAlign w:val="center"/>
          </w:tcPr>
          <w:p w14:paraId="509463F5">
            <w:pPr>
              <w:widowControl/>
              <w:ind w:firstLine="480" w:firstLineChars="200"/>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硫酸泵</w:t>
            </w:r>
          </w:p>
        </w:tc>
        <w:tc>
          <w:tcPr>
            <w:tcW w:w="2300" w:type="dxa"/>
            <w:tcBorders>
              <w:top w:val="single" w:color="auto" w:sz="4" w:space="0"/>
              <w:left w:val="single" w:color="auto" w:sz="4" w:space="0"/>
              <w:bottom w:val="single" w:color="auto" w:sz="4" w:space="0"/>
              <w:right w:val="single" w:color="auto" w:sz="4" w:space="0"/>
            </w:tcBorders>
            <w:vAlign w:val="center"/>
          </w:tcPr>
          <w:p w14:paraId="72FA40C9">
            <w:pPr>
              <w:widowControl/>
              <w:ind w:left="0" w:leftChars="0" w:firstLine="240" w:firstLineChars="1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7F75BC6D">
            <w:pPr>
              <w:widowControl/>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0D505FE0">
            <w:pPr>
              <w:pStyle w:val="66"/>
              <w:adjustRightInd/>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7673A256">
            <w:pPr>
              <w:pStyle w:val="66"/>
              <w:adjustRightInd/>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w:t>
            </w:r>
          </w:p>
        </w:tc>
      </w:tr>
      <w:tr w14:paraId="5A3C3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49DC1CCB">
            <w:pPr>
              <w:pStyle w:val="66"/>
              <w:adjustRightInd/>
              <w:jc w:val="both"/>
              <w:rPr>
                <w:rFonts w:hint="default" w:ascii="仿宋" w:hAnsi="仿宋" w:eastAsia="仿宋" w:cs="仿宋"/>
                <w:lang w:val="en-US" w:eastAsia="zh-CN"/>
              </w:rPr>
            </w:pPr>
            <w:r>
              <w:rPr>
                <w:rFonts w:hint="eastAsia" w:ascii="仿宋" w:hAnsi="仿宋" w:eastAsia="仿宋" w:cs="仿宋"/>
                <w:lang w:val="en-US" w:eastAsia="zh-CN"/>
              </w:rPr>
              <w:t>18</w:t>
            </w:r>
          </w:p>
        </w:tc>
        <w:tc>
          <w:tcPr>
            <w:tcW w:w="2158" w:type="dxa"/>
            <w:tcBorders>
              <w:top w:val="single" w:color="auto" w:sz="4" w:space="0"/>
              <w:left w:val="single" w:color="auto" w:sz="4" w:space="0"/>
              <w:bottom w:val="single" w:color="auto" w:sz="4" w:space="0"/>
              <w:right w:val="single" w:color="auto" w:sz="4" w:space="0"/>
            </w:tcBorders>
            <w:vAlign w:val="center"/>
          </w:tcPr>
          <w:p w14:paraId="4BA07F95">
            <w:pPr>
              <w:widowControl/>
              <w:ind w:firstLine="480" w:firstLineChars="200"/>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水循环泵</w:t>
            </w:r>
          </w:p>
        </w:tc>
        <w:tc>
          <w:tcPr>
            <w:tcW w:w="2300" w:type="dxa"/>
            <w:tcBorders>
              <w:top w:val="single" w:color="auto" w:sz="4" w:space="0"/>
              <w:left w:val="single" w:color="auto" w:sz="4" w:space="0"/>
              <w:bottom w:val="single" w:color="auto" w:sz="4" w:space="0"/>
              <w:right w:val="single" w:color="auto" w:sz="4" w:space="0"/>
            </w:tcBorders>
            <w:vAlign w:val="center"/>
          </w:tcPr>
          <w:p w14:paraId="6B47BB48">
            <w:pPr>
              <w:widowControl/>
              <w:ind w:left="0" w:leftChars="0" w:firstLine="240" w:firstLineChars="10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IHF50-32-125</w:t>
            </w:r>
          </w:p>
        </w:tc>
        <w:tc>
          <w:tcPr>
            <w:tcW w:w="1212" w:type="dxa"/>
            <w:tcBorders>
              <w:top w:val="single" w:color="auto" w:sz="4" w:space="0"/>
              <w:left w:val="single" w:color="auto" w:sz="4" w:space="0"/>
              <w:bottom w:val="single" w:color="auto" w:sz="4" w:space="0"/>
              <w:right w:val="single" w:color="auto" w:sz="4" w:space="0"/>
            </w:tcBorders>
            <w:vAlign w:val="center"/>
          </w:tcPr>
          <w:p w14:paraId="01BEB8F3">
            <w:pPr>
              <w:widowControl/>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bidi="ar"/>
              </w:rPr>
              <w:t>制造部</w:t>
            </w:r>
          </w:p>
        </w:tc>
        <w:tc>
          <w:tcPr>
            <w:tcW w:w="767" w:type="dxa"/>
            <w:tcBorders>
              <w:top w:val="single" w:color="auto" w:sz="4" w:space="0"/>
              <w:left w:val="single" w:color="auto" w:sz="4" w:space="0"/>
              <w:bottom w:val="single" w:color="auto" w:sz="4" w:space="0"/>
              <w:right w:val="single" w:color="auto" w:sz="4" w:space="0"/>
            </w:tcBorders>
            <w:vAlign w:val="center"/>
          </w:tcPr>
          <w:p w14:paraId="1FE5D7EB">
            <w:pPr>
              <w:pStyle w:val="66"/>
              <w:adjustRightInd/>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在用</w:t>
            </w:r>
          </w:p>
        </w:tc>
        <w:tc>
          <w:tcPr>
            <w:tcW w:w="1482" w:type="dxa"/>
            <w:tcBorders>
              <w:top w:val="single" w:color="auto" w:sz="4" w:space="0"/>
              <w:left w:val="single" w:color="auto" w:sz="4" w:space="0"/>
              <w:bottom w:val="single" w:color="auto" w:sz="4" w:space="0"/>
              <w:right w:val="single" w:color="auto" w:sz="4" w:space="0"/>
            </w:tcBorders>
            <w:vAlign w:val="center"/>
          </w:tcPr>
          <w:p w14:paraId="08937F2B">
            <w:pPr>
              <w:pStyle w:val="66"/>
              <w:adjustRightInd/>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w:t>
            </w:r>
          </w:p>
        </w:tc>
      </w:tr>
    </w:tbl>
    <w:p w14:paraId="0D885775">
      <w:pPr>
        <w:widowControl/>
        <w:ind w:firstLine="562" w:firstLineChars="0"/>
        <w:jc w:val="left"/>
        <w:rPr>
          <w:rFonts w:hint="eastAsia" w:ascii="仿宋" w:hAnsi="仿宋" w:eastAsia="仿宋" w:cs="仿宋"/>
          <w:b/>
          <w:snapToGrid/>
          <w:szCs w:val="24"/>
        </w:rPr>
      </w:pPr>
      <w:r>
        <w:rPr>
          <w:rFonts w:hint="eastAsia" w:ascii="仿宋" w:hAnsi="仿宋" w:eastAsia="仿宋" w:cs="仿宋"/>
          <w:b/>
          <w:snapToGrid/>
          <w:szCs w:val="24"/>
        </w:rPr>
        <w:t>3）主要能源消耗品种和能源统计报告情况</w:t>
      </w:r>
      <w:bookmarkEnd w:id="193"/>
      <w:bookmarkEnd w:id="194"/>
      <w:bookmarkEnd w:id="195"/>
      <w:bookmarkEnd w:id="196"/>
    </w:p>
    <w:p w14:paraId="4498BB62">
      <w:pPr>
        <w:spacing w:beforeLines="50" w:afterLines="50"/>
        <w:rPr>
          <w:rFonts w:hint="eastAsia" w:ascii="仿宋" w:hAnsi="仿宋" w:eastAsia="仿宋" w:cs="仿宋"/>
          <w:b/>
          <w:snapToGrid/>
          <w:szCs w:val="24"/>
        </w:rPr>
      </w:pPr>
      <w:r>
        <w:rPr>
          <w:rFonts w:hint="eastAsia" w:ascii="仿宋" w:hAnsi="仿宋" w:eastAsia="仿宋" w:cs="仿宋"/>
        </w:rPr>
        <w:t>经查阅受核查方能源统计台账，核查组确认受核查方在2023年度的</w:t>
      </w:r>
      <w:r>
        <w:rPr>
          <w:rFonts w:hint="eastAsia" w:ascii="仿宋" w:hAnsi="仿宋" w:eastAsia="仿宋" w:cs="仿宋"/>
          <w:highlight w:val="none"/>
          <w:shd w:val="clear"/>
        </w:rPr>
        <w:t>主要能源消耗品种为</w:t>
      </w:r>
      <w:r>
        <w:rPr>
          <w:rFonts w:hint="eastAsia" w:ascii="仿宋" w:hAnsi="仿宋" w:eastAsia="仿宋" w:cs="仿宋"/>
          <w:highlight w:val="none"/>
          <w:shd w:val="clear"/>
          <w:lang w:val="en-US" w:eastAsia="zh-CN"/>
        </w:rPr>
        <w:t>外购热力</w:t>
      </w:r>
      <w:r>
        <w:rPr>
          <w:rFonts w:hint="eastAsia" w:ascii="仿宋" w:hAnsi="仿宋" w:eastAsia="仿宋" w:cs="仿宋"/>
          <w:highlight w:val="none"/>
          <w:shd w:val="clear"/>
        </w:rPr>
        <w:t>和外购电力</w:t>
      </w:r>
      <w:r>
        <w:rPr>
          <w:rFonts w:hint="eastAsia" w:ascii="仿宋" w:hAnsi="仿宋" w:eastAsia="仿宋" w:cs="仿宋"/>
        </w:rPr>
        <w:t>。受核查方每月汇总能源消耗量，向当地统计局报送《工业企业能源购进、消费、库存》表。</w:t>
      </w:r>
    </w:p>
    <w:p w14:paraId="06866491">
      <w:pPr>
        <w:widowControl/>
        <w:ind w:firstLine="562" w:firstLineChars="0"/>
        <w:jc w:val="left"/>
        <w:rPr>
          <w:rFonts w:hint="eastAsia" w:ascii="仿宋" w:hAnsi="仿宋" w:eastAsia="仿宋" w:cs="仿宋"/>
          <w:b/>
          <w:snapToGrid/>
          <w:szCs w:val="24"/>
        </w:rPr>
      </w:pPr>
      <w:bookmarkStart w:id="197" w:name="_Toc6830_WPSOffice_Level3"/>
      <w:bookmarkStart w:id="198" w:name="_Toc23848_WPSOffice_Level3"/>
      <w:bookmarkStart w:id="199" w:name="_Toc29071_WPSOffice_Level3"/>
      <w:bookmarkStart w:id="200" w:name="_Toc22398_WPSOffice_Level3"/>
      <w:r>
        <w:rPr>
          <w:rFonts w:hint="eastAsia" w:ascii="仿宋" w:hAnsi="仿宋" w:eastAsia="仿宋" w:cs="仿宋"/>
          <w:b/>
          <w:snapToGrid/>
          <w:szCs w:val="24"/>
        </w:rPr>
        <w:t>4）监测设备的配置和校验情况</w:t>
      </w:r>
      <w:bookmarkEnd w:id="197"/>
      <w:bookmarkEnd w:id="198"/>
      <w:bookmarkEnd w:id="199"/>
      <w:bookmarkEnd w:id="200"/>
    </w:p>
    <w:p w14:paraId="3492A7D1">
      <w:pPr>
        <w:pStyle w:val="74"/>
        <w:rPr>
          <w:rFonts w:hint="eastAsia" w:ascii="仿宋" w:hAnsi="仿宋" w:eastAsia="仿宋" w:cs="仿宋"/>
          <w:highlight w:val="none"/>
        </w:rPr>
      </w:pPr>
      <w:r>
        <w:rPr>
          <w:rFonts w:hint="eastAsia" w:ascii="仿宋" w:hAnsi="仿宋" w:eastAsia="仿宋" w:cs="仿宋"/>
        </w:rPr>
        <w:t>通过监测设备校验记录和现场勘查，核查组确认受核查方的监测设备配置和校验符合相关规定，满足《核算指南》的要求。经核查的测量设备信息见</w:t>
      </w:r>
      <w:r>
        <w:rPr>
          <w:rFonts w:hint="eastAsia" w:ascii="仿宋" w:hAnsi="仿宋" w:eastAsia="仿宋" w:cs="仿宋"/>
          <w:highlight w:val="none"/>
        </w:rPr>
        <w:t>下表：</w:t>
      </w:r>
    </w:p>
    <w:p w14:paraId="627CB07F">
      <w:pPr>
        <w:ind w:firstLine="0" w:firstLineChars="0"/>
        <w:jc w:val="center"/>
        <w:rPr>
          <w:rFonts w:hint="eastAsia" w:ascii="仿宋" w:hAnsi="仿宋" w:eastAsia="仿宋" w:cs="仿宋"/>
          <w:b/>
          <w:szCs w:val="28"/>
          <w:highlight w:val="none"/>
        </w:rPr>
      </w:pPr>
      <w:bookmarkStart w:id="201" w:name="_Toc23577_WPSOffice_Level3"/>
      <w:bookmarkStart w:id="202" w:name="_Toc29073_WPSOffice_Level3"/>
      <w:bookmarkStart w:id="203" w:name="_Toc1645_WPSOffice_Level3"/>
      <w:bookmarkStart w:id="204" w:name="_Toc7574_WPSOffice_Level3"/>
      <w:r>
        <w:rPr>
          <w:rFonts w:hint="eastAsia" w:ascii="仿宋" w:hAnsi="仿宋" w:eastAsia="仿宋" w:cs="仿宋"/>
          <w:b/>
          <w:szCs w:val="28"/>
          <w:highlight w:val="none"/>
        </w:rPr>
        <w:t>表3-3 经核查的计量设备信</w:t>
      </w:r>
      <w:bookmarkEnd w:id="201"/>
      <w:r>
        <w:rPr>
          <w:rFonts w:hint="eastAsia" w:ascii="仿宋" w:hAnsi="仿宋" w:eastAsia="仿宋" w:cs="仿宋"/>
          <w:b/>
          <w:szCs w:val="28"/>
          <w:highlight w:val="none"/>
        </w:rPr>
        <w:t>息</w:t>
      </w:r>
      <w:bookmarkEnd w:id="202"/>
      <w:bookmarkEnd w:id="203"/>
      <w:bookmarkEnd w:id="204"/>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470"/>
        <w:gridCol w:w="1585"/>
        <w:gridCol w:w="1385"/>
        <w:gridCol w:w="1254"/>
        <w:gridCol w:w="1134"/>
      </w:tblGrid>
      <w:tr w14:paraId="449DA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6688ADF6">
            <w:pPr>
              <w:pStyle w:val="66"/>
              <w:rPr>
                <w:rFonts w:hint="eastAsia" w:ascii="仿宋" w:hAnsi="仿宋" w:eastAsia="仿宋" w:cs="仿宋"/>
                <w:b/>
                <w:szCs w:val="24"/>
                <w:highlight w:val="none"/>
              </w:rPr>
            </w:pPr>
            <w:r>
              <w:rPr>
                <w:rFonts w:hint="eastAsia" w:ascii="仿宋" w:hAnsi="仿宋" w:eastAsia="仿宋" w:cs="仿宋"/>
                <w:b/>
                <w:szCs w:val="24"/>
                <w:highlight w:val="none"/>
              </w:rPr>
              <w:t>编号</w:t>
            </w:r>
          </w:p>
        </w:tc>
        <w:tc>
          <w:tcPr>
            <w:tcW w:w="1470" w:type="dxa"/>
            <w:tcBorders>
              <w:top w:val="single" w:color="auto" w:sz="4" w:space="0"/>
              <w:left w:val="single" w:color="auto" w:sz="4" w:space="0"/>
              <w:bottom w:val="single" w:color="auto" w:sz="4" w:space="0"/>
              <w:right w:val="single" w:color="auto" w:sz="4" w:space="0"/>
            </w:tcBorders>
            <w:vAlign w:val="center"/>
          </w:tcPr>
          <w:p w14:paraId="27A6AE48">
            <w:pPr>
              <w:pStyle w:val="66"/>
              <w:rPr>
                <w:rFonts w:hint="eastAsia" w:ascii="仿宋" w:hAnsi="仿宋" w:eastAsia="仿宋" w:cs="仿宋"/>
                <w:b/>
                <w:szCs w:val="24"/>
                <w:highlight w:val="none"/>
              </w:rPr>
            </w:pPr>
            <w:r>
              <w:rPr>
                <w:rFonts w:hint="eastAsia" w:ascii="仿宋" w:hAnsi="仿宋" w:eastAsia="仿宋" w:cs="仿宋"/>
                <w:b/>
                <w:szCs w:val="24"/>
                <w:highlight w:val="none"/>
              </w:rPr>
              <w:t>设备名称</w:t>
            </w:r>
          </w:p>
        </w:tc>
        <w:tc>
          <w:tcPr>
            <w:tcW w:w="15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9B9F089">
            <w:pPr>
              <w:pStyle w:val="66"/>
              <w:rPr>
                <w:rFonts w:hint="eastAsia" w:ascii="仿宋" w:hAnsi="仿宋" w:eastAsia="仿宋" w:cs="仿宋"/>
                <w:b/>
                <w:szCs w:val="24"/>
                <w:highlight w:val="none"/>
              </w:rPr>
            </w:pPr>
            <w:r>
              <w:rPr>
                <w:rFonts w:hint="eastAsia" w:ascii="仿宋" w:hAnsi="仿宋" w:eastAsia="仿宋" w:cs="仿宋"/>
                <w:b/>
                <w:szCs w:val="24"/>
                <w:highlight w:val="none"/>
              </w:rPr>
              <w:t>规格型号</w:t>
            </w:r>
          </w:p>
        </w:tc>
        <w:tc>
          <w:tcPr>
            <w:tcW w:w="13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A95B01E">
            <w:pPr>
              <w:pStyle w:val="66"/>
              <w:rPr>
                <w:rFonts w:hint="eastAsia" w:ascii="仿宋" w:hAnsi="仿宋" w:eastAsia="仿宋" w:cs="仿宋"/>
                <w:b/>
                <w:szCs w:val="24"/>
                <w:highlight w:val="none"/>
                <w:lang w:eastAsia="zh-CN"/>
              </w:rPr>
            </w:pPr>
            <w:r>
              <w:rPr>
                <w:rFonts w:hint="eastAsia" w:ascii="仿宋" w:hAnsi="仿宋" w:eastAsia="仿宋" w:cs="仿宋"/>
                <w:b/>
                <w:szCs w:val="24"/>
                <w:highlight w:val="none"/>
                <w:lang w:val="en-US" w:eastAsia="zh-CN"/>
              </w:rPr>
              <w:t>出厂编号</w:t>
            </w:r>
          </w:p>
        </w:tc>
        <w:tc>
          <w:tcPr>
            <w:tcW w:w="125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9AC46BC">
            <w:pPr>
              <w:pStyle w:val="66"/>
              <w:rPr>
                <w:rFonts w:hint="eastAsia" w:ascii="仿宋" w:hAnsi="仿宋" w:eastAsia="仿宋" w:cs="仿宋"/>
                <w:b/>
                <w:szCs w:val="24"/>
                <w:highlight w:val="none"/>
              </w:rPr>
            </w:pPr>
            <w:r>
              <w:rPr>
                <w:rFonts w:hint="eastAsia" w:ascii="仿宋" w:hAnsi="仿宋" w:eastAsia="仿宋" w:cs="仿宋"/>
                <w:b/>
                <w:szCs w:val="24"/>
                <w:highlight w:val="none"/>
              </w:rPr>
              <w:t>安装位置</w:t>
            </w:r>
          </w:p>
        </w:tc>
        <w:tc>
          <w:tcPr>
            <w:tcW w:w="11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D553CC8">
            <w:pPr>
              <w:pStyle w:val="66"/>
              <w:rPr>
                <w:rFonts w:hint="eastAsia" w:ascii="仿宋" w:hAnsi="仿宋" w:eastAsia="仿宋" w:cs="仿宋"/>
                <w:b/>
                <w:szCs w:val="24"/>
                <w:highlight w:val="none"/>
              </w:rPr>
            </w:pPr>
            <w:r>
              <w:rPr>
                <w:rFonts w:hint="eastAsia" w:ascii="仿宋" w:hAnsi="仿宋" w:eastAsia="仿宋" w:cs="仿宋"/>
                <w:b/>
                <w:szCs w:val="24"/>
                <w:highlight w:val="none"/>
              </w:rPr>
              <w:t>校核频次</w:t>
            </w:r>
          </w:p>
        </w:tc>
      </w:tr>
      <w:tr w14:paraId="1F307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7BEB2385">
            <w:pPr>
              <w:pStyle w:val="66"/>
              <w:rPr>
                <w:rFonts w:hint="eastAsia" w:ascii="仿宋" w:hAnsi="仿宋" w:eastAsia="仿宋" w:cs="仿宋"/>
                <w:szCs w:val="24"/>
                <w:highlight w:val="none"/>
              </w:rPr>
            </w:pPr>
            <w:r>
              <w:rPr>
                <w:rFonts w:hint="eastAsia" w:ascii="仿宋" w:hAnsi="仿宋" w:eastAsia="仿宋" w:cs="仿宋"/>
                <w:szCs w:val="24"/>
                <w:highlight w:val="none"/>
              </w:rPr>
              <w:t>1</w:t>
            </w:r>
          </w:p>
        </w:tc>
        <w:tc>
          <w:tcPr>
            <w:tcW w:w="1470" w:type="dxa"/>
            <w:tcBorders>
              <w:top w:val="single" w:color="auto" w:sz="4" w:space="0"/>
              <w:left w:val="single" w:color="auto" w:sz="4" w:space="0"/>
              <w:bottom w:val="single" w:color="auto" w:sz="4" w:space="0"/>
              <w:right w:val="single" w:color="auto" w:sz="4" w:space="0"/>
            </w:tcBorders>
            <w:vAlign w:val="center"/>
          </w:tcPr>
          <w:p w14:paraId="59BDE38D">
            <w:pPr>
              <w:pStyle w:val="66"/>
              <w:rPr>
                <w:rFonts w:hint="default" w:ascii="仿宋" w:hAnsi="仿宋" w:eastAsia="仿宋" w:cs="仿宋"/>
                <w:szCs w:val="24"/>
                <w:highlight w:val="none"/>
                <w:lang w:val="en-US" w:eastAsia="zh-CN"/>
              </w:rPr>
            </w:pPr>
            <w:r>
              <w:rPr>
                <w:rFonts w:hint="default" w:ascii="仿宋" w:hAnsi="仿宋" w:eastAsia="仿宋" w:cs="仿宋"/>
                <w:szCs w:val="24"/>
                <w:highlight w:val="none"/>
                <w:lang w:val="en-US" w:eastAsia="zh-CN"/>
              </w:rPr>
              <w:t>电子</w:t>
            </w:r>
            <w:r>
              <w:rPr>
                <w:rFonts w:hint="eastAsia" w:ascii="仿宋" w:hAnsi="仿宋" w:eastAsia="仿宋" w:cs="仿宋"/>
                <w:szCs w:val="24"/>
                <w:highlight w:val="none"/>
                <w:lang w:val="en-US" w:eastAsia="zh-CN"/>
              </w:rPr>
              <w:t>汽</w:t>
            </w:r>
            <w:r>
              <w:rPr>
                <w:rFonts w:hint="default" w:ascii="仿宋" w:hAnsi="仿宋" w:eastAsia="仿宋" w:cs="仿宋"/>
                <w:szCs w:val="24"/>
                <w:highlight w:val="none"/>
                <w:lang w:val="en-US" w:eastAsia="zh-CN"/>
              </w:rPr>
              <w:t>车衡</w:t>
            </w:r>
          </w:p>
        </w:tc>
        <w:tc>
          <w:tcPr>
            <w:tcW w:w="15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8C4CBEA">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SCS-100</w:t>
            </w:r>
          </w:p>
        </w:tc>
        <w:tc>
          <w:tcPr>
            <w:tcW w:w="13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DCA04B3">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140306</w:t>
            </w:r>
          </w:p>
        </w:tc>
        <w:tc>
          <w:tcPr>
            <w:tcW w:w="125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8BF12ED">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厂区</w:t>
            </w:r>
          </w:p>
        </w:tc>
        <w:tc>
          <w:tcPr>
            <w:tcW w:w="11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016974E">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电业局</w:t>
            </w:r>
          </w:p>
        </w:tc>
      </w:tr>
      <w:tr w14:paraId="24C42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0A351FD4">
            <w:pPr>
              <w:pStyle w:val="66"/>
              <w:rPr>
                <w:rFonts w:hint="eastAsia" w:ascii="仿宋" w:hAnsi="仿宋" w:eastAsia="仿宋" w:cs="仿宋"/>
                <w:szCs w:val="24"/>
                <w:highlight w:val="none"/>
              </w:rPr>
            </w:pPr>
            <w:r>
              <w:rPr>
                <w:rFonts w:hint="eastAsia" w:ascii="仿宋" w:hAnsi="仿宋" w:eastAsia="仿宋" w:cs="仿宋"/>
                <w:szCs w:val="24"/>
                <w:highlight w:val="none"/>
              </w:rPr>
              <w:t>2</w:t>
            </w:r>
          </w:p>
        </w:tc>
        <w:tc>
          <w:tcPr>
            <w:tcW w:w="1470" w:type="dxa"/>
            <w:tcBorders>
              <w:top w:val="single" w:color="auto" w:sz="4" w:space="0"/>
              <w:left w:val="single" w:color="auto" w:sz="4" w:space="0"/>
              <w:bottom w:val="single" w:color="auto" w:sz="4" w:space="0"/>
              <w:right w:val="single" w:color="auto" w:sz="4" w:space="0"/>
            </w:tcBorders>
            <w:vAlign w:val="center"/>
          </w:tcPr>
          <w:p w14:paraId="67FDDCD3">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电子充装称</w:t>
            </w:r>
          </w:p>
        </w:tc>
        <w:tc>
          <w:tcPr>
            <w:tcW w:w="15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695C638">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S-3</w:t>
            </w:r>
          </w:p>
        </w:tc>
        <w:tc>
          <w:tcPr>
            <w:tcW w:w="13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F0EC204">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01-08</w:t>
            </w:r>
          </w:p>
        </w:tc>
        <w:tc>
          <w:tcPr>
            <w:tcW w:w="125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9F92FDF">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充装站</w:t>
            </w:r>
          </w:p>
        </w:tc>
        <w:tc>
          <w:tcPr>
            <w:tcW w:w="11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A98FFEF">
            <w:pPr>
              <w:pStyle w:val="66"/>
              <w:rPr>
                <w:rFonts w:hint="eastAsia" w:ascii="仿宋" w:hAnsi="仿宋" w:eastAsia="仿宋" w:cs="仿宋"/>
                <w:szCs w:val="24"/>
                <w:highlight w:val="none"/>
              </w:rPr>
            </w:pPr>
            <w:r>
              <w:rPr>
                <w:rFonts w:hint="eastAsia" w:ascii="仿宋" w:hAnsi="仿宋" w:eastAsia="仿宋" w:cs="仿宋"/>
                <w:szCs w:val="24"/>
                <w:highlight w:val="none"/>
              </w:rPr>
              <w:t>电业局</w:t>
            </w:r>
          </w:p>
        </w:tc>
      </w:tr>
      <w:tr w14:paraId="14293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39C82F7A">
            <w:pPr>
              <w:pStyle w:val="66"/>
              <w:rPr>
                <w:rFonts w:hint="eastAsia" w:ascii="仿宋" w:hAnsi="仿宋" w:eastAsia="仿宋" w:cs="仿宋"/>
                <w:szCs w:val="24"/>
                <w:highlight w:val="none"/>
                <w:lang w:val="en-US" w:eastAsia="zh-CN"/>
              </w:rPr>
            </w:pPr>
            <w:bookmarkStart w:id="205" w:name="_Toc503300119"/>
            <w:bookmarkStart w:id="206" w:name="_Toc444197192"/>
            <w:bookmarkStart w:id="207" w:name="_Toc5302"/>
            <w:bookmarkStart w:id="208" w:name="_Toc444196301"/>
            <w:bookmarkStart w:id="209" w:name="_Toc20621_WPSOffice_Level3"/>
            <w:bookmarkStart w:id="210" w:name="_Toc11557"/>
            <w:bookmarkStart w:id="211" w:name="_Toc4032"/>
            <w:bookmarkStart w:id="212" w:name="_Toc4474"/>
            <w:r>
              <w:rPr>
                <w:rFonts w:hint="eastAsia" w:ascii="仿宋" w:hAnsi="仿宋" w:eastAsia="仿宋" w:cs="仿宋"/>
                <w:szCs w:val="24"/>
                <w:highlight w:val="none"/>
                <w:lang w:val="en-US" w:eastAsia="zh-CN"/>
              </w:rPr>
              <w:t>3</w:t>
            </w:r>
          </w:p>
        </w:tc>
        <w:tc>
          <w:tcPr>
            <w:tcW w:w="1470" w:type="dxa"/>
            <w:tcBorders>
              <w:top w:val="single" w:color="auto" w:sz="4" w:space="0"/>
              <w:left w:val="single" w:color="auto" w:sz="4" w:space="0"/>
              <w:bottom w:val="single" w:color="auto" w:sz="4" w:space="0"/>
              <w:right w:val="single" w:color="auto" w:sz="4" w:space="0"/>
            </w:tcBorders>
            <w:vAlign w:val="center"/>
          </w:tcPr>
          <w:p w14:paraId="12695833">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电子天平</w:t>
            </w:r>
          </w:p>
        </w:tc>
        <w:tc>
          <w:tcPr>
            <w:tcW w:w="15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D025B05">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JA5003</w:t>
            </w:r>
          </w:p>
        </w:tc>
        <w:tc>
          <w:tcPr>
            <w:tcW w:w="13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6987DFD">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170734</w:t>
            </w:r>
          </w:p>
        </w:tc>
        <w:tc>
          <w:tcPr>
            <w:tcW w:w="125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CDDE2F9">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化验室</w:t>
            </w:r>
          </w:p>
        </w:tc>
        <w:tc>
          <w:tcPr>
            <w:tcW w:w="11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6C5533F">
            <w:pPr>
              <w:pStyle w:val="66"/>
              <w:rPr>
                <w:rFonts w:hint="eastAsia" w:ascii="仿宋" w:hAnsi="仿宋" w:eastAsia="仿宋" w:cs="仿宋"/>
                <w:szCs w:val="24"/>
                <w:highlight w:val="yellow"/>
              </w:rPr>
            </w:pPr>
            <w:r>
              <w:rPr>
                <w:rFonts w:hint="eastAsia" w:ascii="仿宋" w:hAnsi="仿宋" w:eastAsia="仿宋" w:cs="仿宋"/>
                <w:szCs w:val="24"/>
                <w:highlight w:val="none"/>
              </w:rPr>
              <w:t>电业局</w:t>
            </w:r>
          </w:p>
        </w:tc>
      </w:tr>
      <w:tr w14:paraId="2B03B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48D3AF12">
            <w:pPr>
              <w:pStyle w:val="66"/>
              <w:jc w:val="center"/>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4</w:t>
            </w:r>
          </w:p>
        </w:tc>
        <w:tc>
          <w:tcPr>
            <w:tcW w:w="1470" w:type="dxa"/>
            <w:tcBorders>
              <w:top w:val="single" w:color="auto" w:sz="4" w:space="0"/>
              <w:left w:val="single" w:color="auto" w:sz="4" w:space="0"/>
              <w:bottom w:val="single" w:color="auto" w:sz="4" w:space="0"/>
              <w:right w:val="single" w:color="auto" w:sz="4" w:space="0"/>
            </w:tcBorders>
            <w:vAlign w:val="center"/>
          </w:tcPr>
          <w:p w14:paraId="4EB424C7">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电子天平</w:t>
            </w:r>
          </w:p>
        </w:tc>
        <w:tc>
          <w:tcPr>
            <w:tcW w:w="15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80E5214">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FL204</w:t>
            </w:r>
          </w:p>
        </w:tc>
        <w:tc>
          <w:tcPr>
            <w:tcW w:w="13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845A729">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B311117633</w:t>
            </w:r>
          </w:p>
        </w:tc>
        <w:tc>
          <w:tcPr>
            <w:tcW w:w="125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2B4E6D0">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化验室</w:t>
            </w:r>
          </w:p>
        </w:tc>
        <w:tc>
          <w:tcPr>
            <w:tcW w:w="11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4B7F4E5">
            <w:pPr>
              <w:pStyle w:val="66"/>
              <w:rPr>
                <w:rFonts w:hint="eastAsia" w:ascii="仿宋" w:hAnsi="仿宋" w:eastAsia="仿宋" w:cs="仿宋"/>
                <w:szCs w:val="24"/>
                <w:highlight w:val="yellow"/>
              </w:rPr>
            </w:pPr>
            <w:r>
              <w:rPr>
                <w:rFonts w:hint="eastAsia" w:ascii="仿宋" w:hAnsi="仿宋" w:eastAsia="仿宋" w:cs="仿宋"/>
                <w:szCs w:val="24"/>
                <w:highlight w:val="none"/>
              </w:rPr>
              <w:t>电业局</w:t>
            </w:r>
          </w:p>
        </w:tc>
      </w:tr>
      <w:tr w14:paraId="189B4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37DFF040">
            <w:pPr>
              <w:pStyle w:val="66"/>
              <w:jc w:val="center"/>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5</w:t>
            </w:r>
          </w:p>
        </w:tc>
        <w:tc>
          <w:tcPr>
            <w:tcW w:w="1470" w:type="dxa"/>
            <w:tcBorders>
              <w:top w:val="single" w:color="auto" w:sz="4" w:space="0"/>
              <w:left w:val="single" w:color="auto" w:sz="4" w:space="0"/>
              <w:bottom w:val="single" w:color="auto" w:sz="4" w:space="0"/>
              <w:right w:val="single" w:color="auto" w:sz="4" w:space="0"/>
            </w:tcBorders>
            <w:vAlign w:val="center"/>
          </w:tcPr>
          <w:p w14:paraId="0B982507">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电子吊秤</w:t>
            </w:r>
          </w:p>
        </w:tc>
        <w:tc>
          <w:tcPr>
            <w:tcW w:w="15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4176852">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E0772</w:t>
            </w:r>
          </w:p>
        </w:tc>
        <w:tc>
          <w:tcPr>
            <w:tcW w:w="13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97E98B7">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20190909</w:t>
            </w:r>
          </w:p>
        </w:tc>
        <w:tc>
          <w:tcPr>
            <w:tcW w:w="125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161FB84">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充装站</w:t>
            </w:r>
          </w:p>
        </w:tc>
        <w:tc>
          <w:tcPr>
            <w:tcW w:w="11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CBDA83F">
            <w:pPr>
              <w:pStyle w:val="66"/>
              <w:rPr>
                <w:rFonts w:hint="eastAsia" w:ascii="仿宋" w:hAnsi="仿宋" w:eastAsia="仿宋" w:cs="仿宋"/>
                <w:szCs w:val="24"/>
                <w:highlight w:val="yellow"/>
              </w:rPr>
            </w:pPr>
            <w:r>
              <w:rPr>
                <w:rFonts w:hint="eastAsia" w:ascii="仿宋" w:hAnsi="仿宋" w:eastAsia="仿宋" w:cs="仿宋"/>
                <w:szCs w:val="24"/>
                <w:highlight w:val="none"/>
              </w:rPr>
              <w:t>电业局</w:t>
            </w:r>
          </w:p>
        </w:tc>
      </w:tr>
      <w:tr w14:paraId="746C8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5EC834B9">
            <w:pPr>
              <w:pStyle w:val="66"/>
              <w:jc w:val="center"/>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6</w:t>
            </w:r>
          </w:p>
        </w:tc>
        <w:tc>
          <w:tcPr>
            <w:tcW w:w="1470" w:type="dxa"/>
            <w:tcBorders>
              <w:top w:val="single" w:color="auto" w:sz="4" w:space="0"/>
              <w:left w:val="single" w:color="auto" w:sz="4" w:space="0"/>
              <w:bottom w:val="single" w:color="auto" w:sz="4" w:space="0"/>
              <w:right w:val="single" w:color="auto" w:sz="4" w:space="0"/>
            </w:tcBorders>
            <w:vAlign w:val="center"/>
          </w:tcPr>
          <w:p w14:paraId="17D58AE0">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电表</w:t>
            </w:r>
          </w:p>
        </w:tc>
        <w:tc>
          <w:tcPr>
            <w:tcW w:w="15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57127A9">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DSZ719</w:t>
            </w:r>
          </w:p>
        </w:tc>
        <w:tc>
          <w:tcPr>
            <w:tcW w:w="13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6E370A6">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3730001000000536336149</w:t>
            </w:r>
          </w:p>
        </w:tc>
        <w:tc>
          <w:tcPr>
            <w:tcW w:w="125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F34C4E9">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变电室</w:t>
            </w:r>
          </w:p>
        </w:tc>
        <w:tc>
          <w:tcPr>
            <w:tcW w:w="11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5B090C4">
            <w:pPr>
              <w:pStyle w:val="66"/>
              <w:rPr>
                <w:rFonts w:hint="eastAsia" w:ascii="仿宋" w:hAnsi="仿宋" w:eastAsia="仿宋" w:cs="仿宋"/>
                <w:szCs w:val="24"/>
                <w:highlight w:val="yellow"/>
              </w:rPr>
            </w:pPr>
            <w:r>
              <w:rPr>
                <w:rFonts w:hint="eastAsia" w:ascii="仿宋" w:hAnsi="仿宋" w:eastAsia="仿宋" w:cs="仿宋"/>
                <w:szCs w:val="24"/>
                <w:highlight w:val="none"/>
              </w:rPr>
              <w:t>电业局</w:t>
            </w:r>
          </w:p>
        </w:tc>
      </w:tr>
      <w:tr w14:paraId="243F6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5EB242DC">
            <w:pPr>
              <w:pStyle w:val="66"/>
              <w:jc w:val="center"/>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7</w:t>
            </w:r>
          </w:p>
        </w:tc>
        <w:tc>
          <w:tcPr>
            <w:tcW w:w="1470" w:type="dxa"/>
            <w:tcBorders>
              <w:top w:val="single" w:color="auto" w:sz="4" w:space="0"/>
              <w:left w:val="single" w:color="auto" w:sz="4" w:space="0"/>
              <w:bottom w:val="single" w:color="auto" w:sz="4" w:space="0"/>
              <w:right w:val="single" w:color="auto" w:sz="4" w:space="0"/>
            </w:tcBorders>
            <w:vAlign w:val="center"/>
          </w:tcPr>
          <w:p w14:paraId="184F62DA">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电表</w:t>
            </w:r>
          </w:p>
        </w:tc>
        <w:tc>
          <w:tcPr>
            <w:tcW w:w="15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F55E0AD">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DTS606</w:t>
            </w:r>
          </w:p>
        </w:tc>
        <w:tc>
          <w:tcPr>
            <w:tcW w:w="13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D093587">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20201130111624</w:t>
            </w:r>
          </w:p>
        </w:tc>
        <w:tc>
          <w:tcPr>
            <w:tcW w:w="125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0B98FB0">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办公楼</w:t>
            </w:r>
          </w:p>
        </w:tc>
        <w:tc>
          <w:tcPr>
            <w:tcW w:w="11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FCE06B3">
            <w:pPr>
              <w:pStyle w:val="66"/>
              <w:rPr>
                <w:rFonts w:hint="eastAsia" w:ascii="仿宋" w:hAnsi="仿宋" w:eastAsia="仿宋" w:cs="仿宋"/>
                <w:szCs w:val="24"/>
                <w:highlight w:val="yellow"/>
              </w:rPr>
            </w:pPr>
            <w:r>
              <w:rPr>
                <w:rFonts w:hint="eastAsia" w:ascii="仿宋" w:hAnsi="仿宋" w:eastAsia="仿宋" w:cs="仿宋"/>
                <w:szCs w:val="24"/>
                <w:highlight w:val="none"/>
              </w:rPr>
              <w:t>电业局</w:t>
            </w:r>
          </w:p>
        </w:tc>
      </w:tr>
      <w:tr w14:paraId="2DBD8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353190A0">
            <w:pPr>
              <w:pStyle w:val="66"/>
              <w:jc w:val="center"/>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8</w:t>
            </w:r>
          </w:p>
        </w:tc>
        <w:tc>
          <w:tcPr>
            <w:tcW w:w="1470" w:type="dxa"/>
            <w:tcBorders>
              <w:top w:val="single" w:color="auto" w:sz="4" w:space="0"/>
              <w:left w:val="single" w:color="auto" w:sz="4" w:space="0"/>
              <w:bottom w:val="single" w:color="auto" w:sz="4" w:space="0"/>
              <w:right w:val="single" w:color="auto" w:sz="4" w:space="0"/>
            </w:tcBorders>
            <w:vAlign w:val="center"/>
          </w:tcPr>
          <w:p w14:paraId="17A4C632">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电表</w:t>
            </w:r>
          </w:p>
        </w:tc>
        <w:tc>
          <w:tcPr>
            <w:tcW w:w="15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7E819AA">
            <w:pPr>
              <w:pStyle w:val="66"/>
              <w:rPr>
                <w:rFonts w:hint="eastAsia" w:ascii="仿宋" w:hAnsi="仿宋" w:eastAsia="仿宋" w:cs="仿宋"/>
                <w:szCs w:val="24"/>
                <w:highlight w:val="none"/>
              </w:rPr>
            </w:pPr>
            <w:r>
              <w:rPr>
                <w:rFonts w:hint="eastAsia" w:ascii="仿宋" w:hAnsi="仿宋" w:eastAsia="仿宋" w:cs="仿宋"/>
                <w:szCs w:val="24"/>
                <w:highlight w:val="none"/>
                <w:lang w:val="en-US" w:eastAsia="zh-CN"/>
              </w:rPr>
              <w:t>DTS606</w:t>
            </w:r>
          </w:p>
        </w:tc>
        <w:tc>
          <w:tcPr>
            <w:tcW w:w="13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B04121C">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111930760313</w:t>
            </w:r>
          </w:p>
        </w:tc>
        <w:tc>
          <w:tcPr>
            <w:tcW w:w="125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1929F97">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办公楼</w:t>
            </w:r>
          </w:p>
        </w:tc>
        <w:tc>
          <w:tcPr>
            <w:tcW w:w="11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5C57267">
            <w:pPr>
              <w:pStyle w:val="66"/>
              <w:rPr>
                <w:rFonts w:hint="eastAsia" w:ascii="仿宋" w:hAnsi="仿宋" w:eastAsia="仿宋" w:cs="仿宋"/>
                <w:szCs w:val="24"/>
                <w:highlight w:val="yellow"/>
              </w:rPr>
            </w:pPr>
            <w:r>
              <w:rPr>
                <w:rFonts w:hint="eastAsia" w:ascii="仿宋" w:hAnsi="仿宋" w:eastAsia="仿宋" w:cs="仿宋"/>
                <w:szCs w:val="24"/>
                <w:highlight w:val="none"/>
              </w:rPr>
              <w:t>电业局</w:t>
            </w:r>
          </w:p>
        </w:tc>
      </w:tr>
      <w:tr w14:paraId="409BB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19CDD840">
            <w:pPr>
              <w:pStyle w:val="66"/>
              <w:jc w:val="center"/>
              <w:rPr>
                <w:rFonts w:hint="default" w:ascii="仿宋" w:hAnsi="仿宋" w:eastAsia="仿宋" w:cs="仿宋"/>
                <w:szCs w:val="24"/>
                <w:highlight w:val="none"/>
                <w:lang w:val="en-US" w:eastAsia="zh-CN"/>
              </w:rPr>
            </w:pPr>
            <w:bookmarkStart w:id="213" w:name="_Toc22875"/>
            <w:r>
              <w:rPr>
                <w:rFonts w:hint="eastAsia" w:ascii="仿宋" w:hAnsi="仿宋" w:eastAsia="仿宋" w:cs="仿宋"/>
                <w:szCs w:val="24"/>
                <w:highlight w:val="none"/>
                <w:lang w:val="en-US" w:eastAsia="zh-CN"/>
              </w:rPr>
              <w:t>9</w:t>
            </w:r>
          </w:p>
        </w:tc>
        <w:tc>
          <w:tcPr>
            <w:tcW w:w="1470" w:type="dxa"/>
            <w:tcBorders>
              <w:top w:val="single" w:color="auto" w:sz="4" w:space="0"/>
              <w:left w:val="single" w:color="auto" w:sz="4" w:space="0"/>
              <w:bottom w:val="single" w:color="auto" w:sz="4" w:space="0"/>
              <w:right w:val="single" w:color="auto" w:sz="4" w:space="0"/>
            </w:tcBorders>
            <w:vAlign w:val="center"/>
          </w:tcPr>
          <w:p w14:paraId="26E85E8F">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再沸器</w:t>
            </w:r>
          </w:p>
        </w:tc>
        <w:tc>
          <w:tcPr>
            <w:tcW w:w="15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109C5EF">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100m2∮1000X2500</w:t>
            </w:r>
          </w:p>
        </w:tc>
        <w:tc>
          <w:tcPr>
            <w:tcW w:w="138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40E7061">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E14202</w:t>
            </w:r>
          </w:p>
        </w:tc>
        <w:tc>
          <w:tcPr>
            <w:tcW w:w="125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5355D0E">
            <w:pPr>
              <w:pStyle w:val="66"/>
              <w:rPr>
                <w:rFonts w:hint="default" w:ascii="仿宋" w:hAnsi="仿宋" w:eastAsia="仿宋" w:cs="仿宋"/>
                <w:szCs w:val="24"/>
                <w:highlight w:val="none"/>
                <w:lang w:val="en-US" w:eastAsia="zh-CN"/>
              </w:rPr>
            </w:pPr>
            <w:r>
              <w:rPr>
                <w:rFonts w:hint="eastAsia" w:ascii="仿宋" w:hAnsi="仿宋" w:eastAsia="仿宋" w:cs="仿宋"/>
                <w:szCs w:val="24"/>
                <w:highlight w:val="none"/>
                <w:lang w:val="en-US" w:eastAsia="zh-CN"/>
              </w:rPr>
              <w:t>厂区</w:t>
            </w:r>
          </w:p>
        </w:tc>
        <w:tc>
          <w:tcPr>
            <w:tcW w:w="11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70BB59F">
            <w:pPr>
              <w:pStyle w:val="66"/>
              <w:rPr>
                <w:rFonts w:hint="eastAsia" w:ascii="仿宋" w:hAnsi="仿宋" w:eastAsia="仿宋" w:cs="仿宋"/>
                <w:szCs w:val="24"/>
                <w:highlight w:val="none"/>
                <w:lang w:val="en-US" w:eastAsia="zh-CN"/>
              </w:rPr>
            </w:pPr>
            <w:r>
              <w:rPr>
                <w:rFonts w:hint="eastAsia" w:ascii="仿宋" w:hAnsi="仿宋" w:eastAsia="仿宋" w:cs="仿宋"/>
                <w:szCs w:val="24"/>
                <w:highlight w:val="none"/>
                <w:lang w:val="en-US" w:eastAsia="zh-CN"/>
              </w:rPr>
              <w:t>燃气公司</w:t>
            </w:r>
          </w:p>
        </w:tc>
      </w:tr>
    </w:tbl>
    <w:p w14:paraId="6E6AE7F4">
      <w:pPr>
        <w:pStyle w:val="4"/>
        <w:spacing w:beforeLines="50" w:afterLines="50"/>
        <w:rPr>
          <w:rFonts w:hint="eastAsia" w:ascii="仿宋" w:hAnsi="仿宋" w:eastAsia="仿宋" w:cs="仿宋"/>
          <w:szCs w:val="28"/>
        </w:rPr>
      </w:pPr>
      <w:r>
        <w:rPr>
          <w:rFonts w:hint="eastAsia" w:ascii="仿宋" w:hAnsi="仿宋" w:eastAsia="仿宋" w:cs="仿宋"/>
          <w:szCs w:val="28"/>
        </w:rPr>
        <w:t>3.1.3 受核查方工艺流程及产品</w:t>
      </w:r>
      <w:bookmarkEnd w:id="205"/>
      <w:bookmarkEnd w:id="206"/>
      <w:bookmarkEnd w:id="207"/>
      <w:bookmarkEnd w:id="208"/>
      <w:bookmarkEnd w:id="209"/>
      <w:bookmarkEnd w:id="210"/>
      <w:bookmarkEnd w:id="211"/>
      <w:bookmarkEnd w:id="212"/>
      <w:bookmarkEnd w:id="213"/>
    </w:p>
    <w:p w14:paraId="2B5F5AAD">
      <w:pPr>
        <w:pStyle w:val="74"/>
        <w:rPr>
          <w:rFonts w:hint="eastAsia" w:ascii="仿宋" w:hAnsi="仿宋" w:eastAsia="仿宋" w:cs="仿宋"/>
        </w:rPr>
      </w:pPr>
      <w:r>
        <w:rPr>
          <w:rFonts w:hint="eastAsia" w:ascii="仿宋" w:hAnsi="仿宋" w:eastAsia="仿宋" w:cs="仿宋"/>
        </w:rPr>
        <w:t>受核查方的生产工艺流程：</w:t>
      </w:r>
    </w:p>
    <w:p w14:paraId="779B03FD">
      <w:pPr>
        <w:ind w:firstLine="0" w:firstLineChars="0"/>
        <w:jc w:val="center"/>
        <w:rPr>
          <w:rFonts w:hint="eastAsia" w:ascii="仿宋" w:hAnsi="仿宋" w:eastAsia="仿宋" w:cs="仿宋"/>
          <w:szCs w:val="24"/>
          <w:lang w:eastAsia="zh-CN"/>
        </w:rPr>
      </w:pPr>
      <w:r>
        <w:rPr>
          <w:rFonts w:hint="eastAsia" w:ascii="仿宋" w:hAnsi="仿宋" w:eastAsia="仿宋" w:cs="仿宋"/>
          <w:szCs w:val="24"/>
          <w:lang w:eastAsia="zh-CN"/>
        </w:rPr>
        <w:drawing>
          <wp:inline distT="0" distB="0" distL="114300" distR="114300">
            <wp:extent cx="4834255" cy="3096895"/>
            <wp:effectExtent l="0" t="0" r="4445" b="825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26"/>
                    <a:stretch>
                      <a:fillRect/>
                    </a:stretch>
                  </pic:blipFill>
                  <pic:spPr>
                    <a:xfrm>
                      <a:off x="0" y="0"/>
                      <a:ext cx="4834255" cy="3096895"/>
                    </a:xfrm>
                    <a:prstGeom prst="rect">
                      <a:avLst/>
                    </a:prstGeom>
                  </pic:spPr>
                </pic:pic>
              </a:graphicData>
            </a:graphic>
          </wp:inline>
        </w:drawing>
      </w:r>
    </w:p>
    <w:p w14:paraId="77D6C567">
      <w:pPr>
        <w:pStyle w:val="3"/>
        <w:spacing w:beforeLines="50" w:afterLines="50"/>
        <w:rPr>
          <w:rFonts w:hint="eastAsia" w:ascii="仿宋" w:hAnsi="仿宋" w:eastAsia="仿宋" w:cs="仿宋"/>
          <w:sz w:val="28"/>
          <w:szCs w:val="28"/>
        </w:rPr>
      </w:pPr>
      <w:bookmarkStart w:id="214" w:name="_Toc4737"/>
      <w:bookmarkStart w:id="215" w:name="_Toc30797"/>
      <w:bookmarkStart w:id="216" w:name="_Toc12724"/>
      <w:bookmarkStart w:id="217" w:name="_Toc444197194"/>
      <w:bookmarkStart w:id="218" w:name="_Toc7477"/>
      <w:bookmarkStart w:id="219" w:name="_Toc27395_WPSOffice_Level2"/>
      <w:bookmarkStart w:id="220" w:name="_Toc12175"/>
      <w:bookmarkStart w:id="221" w:name="_Toc444196303"/>
      <w:bookmarkStart w:id="222" w:name="_Toc18871"/>
      <w:bookmarkStart w:id="223" w:name="_Toc22615"/>
      <w:bookmarkStart w:id="224" w:name="_Toc7706"/>
      <w:bookmarkStart w:id="225" w:name="_Toc503300120"/>
      <w:bookmarkStart w:id="226" w:name="_Toc32720"/>
      <w:r>
        <w:rPr>
          <w:rFonts w:hint="eastAsia" w:ascii="仿宋" w:hAnsi="仿宋" w:eastAsia="仿宋" w:cs="仿宋"/>
          <w:sz w:val="28"/>
          <w:szCs w:val="28"/>
        </w:rPr>
        <w:t>3.2 核算边界的核查</w:t>
      </w:r>
      <w:bookmarkEnd w:id="214"/>
      <w:bookmarkEnd w:id="215"/>
      <w:bookmarkEnd w:id="216"/>
      <w:bookmarkEnd w:id="217"/>
      <w:bookmarkEnd w:id="218"/>
      <w:bookmarkEnd w:id="219"/>
      <w:bookmarkEnd w:id="220"/>
      <w:bookmarkEnd w:id="221"/>
      <w:bookmarkEnd w:id="222"/>
      <w:bookmarkEnd w:id="223"/>
      <w:bookmarkEnd w:id="224"/>
      <w:bookmarkEnd w:id="225"/>
      <w:bookmarkEnd w:id="226"/>
    </w:p>
    <w:p w14:paraId="2B3708B1">
      <w:pPr>
        <w:rPr>
          <w:rFonts w:hint="eastAsia" w:ascii="仿宋" w:hAnsi="仿宋" w:eastAsia="仿宋" w:cs="仿宋"/>
          <w:szCs w:val="24"/>
        </w:rPr>
      </w:pPr>
      <w:r>
        <w:rPr>
          <w:rFonts w:hint="eastAsia" w:ascii="仿宋" w:hAnsi="仿宋" w:eastAsia="仿宋" w:cs="仿宋"/>
          <w:szCs w:val="24"/>
        </w:rPr>
        <w:t>通过查阅受核查方公司简介、组织机构图以及现场访问，核查组确认：在</w:t>
      </w:r>
      <w:r>
        <w:rPr>
          <w:rFonts w:hint="eastAsia" w:ascii="仿宋" w:hAnsi="仿宋" w:eastAsia="仿宋" w:cs="仿宋"/>
          <w:szCs w:val="24"/>
          <w:lang w:val="en-US" w:eastAsia="zh-CN"/>
        </w:rPr>
        <w:t>山东</w:t>
      </w:r>
      <w:r>
        <w:rPr>
          <w:rFonts w:hint="eastAsia" w:ascii="仿宋" w:hAnsi="仿宋" w:eastAsia="仿宋" w:cs="仿宋"/>
          <w:szCs w:val="24"/>
        </w:rPr>
        <w:t>省行政辖区范围内，受核查方仅有一个生产厂区位于</w:t>
      </w:r>
      <w:r>
        <w:rPr>
          <w:rFonts w:hint="default" w:ascii="Times New Roman" w:hAnsi="Times New Roman" w:eastAsia="仿宋" w:cs="Times New Roman"/>
          <w:sz w:val="28"/>
          <w:szCs w:val="28"/>
          <w:highlight w:val="none"/>
        </w:rPr>
        <w:t>山东郯城经济开发区新源路16号</w:t>
      </w:r>
      <w:r>
        <w:rPr>
          <w:rFonts w:hint="eastAsia" w:ascii="仿宋" w:hAnsi="仿宋" w:eastAsia="仿宋" w:cs="仿宋"/>
          <w:szCs w:val="24"/>
        </w:rPr>
        <w:t>。2023年期间，企业生产地址未发生变化，不涉及合并、分立等情况。</w:t>
      </w:r>
    </w:p>
    <w:p w14:paraId="6847A843">
      <w:pPr>
        <w:rPr>
          <w:rFonts w:hint="eastAsia" w:ascii="仿宋" w:hAnsi="仿宋" w:eastAsia="仿宋" w:cs="仿宋"/>
          <w:szCs w:val="24"/>
        </w:rPr>
      </w:pPr>
      <w:r>
        <w:rPr>
          <w:rFonts w:hint="eastAsia" w:ascii="仿宋" w:hAnsi="仿宋" w:eastAsia="仿宋" w:cs="仿宋"/>
          <w:szCs w:val="24"/>
        </w:rPr>
        <w:t>根据核算指南的要求，受核查方法人核算边界涉及直接生产系统、辅助生产系统及直接为生产服务的附属生产系统产生的温室气体排放。经核查，核查组确认受核查方核算边界，如下表所示：</w:t>
      </w:r>
    </w:p>
    <w:p w14:paraId="767C905C">
      <w:pPr>
        <w:spacing w:line="240" w:lineRule="auto"/>
        <w:ind w:firstLine="0" w:firstLineChars="0"/>
        <w:jc w:val="center"/>
        <w:rPr>
          <w:rFonts w:hint="eastAsia" w:ascii="仿宋" w:hAnsi="仿宋" w:eastAsia="仿宋" w:cs="仿宋"/>
          <w:b/>
          <w:bCs/>
          <w:szCs w:val="28"/>
        </w:rPr>
      </w:pPr>
      <w:bookmarkStart w:id="227" w:name="_Toc19151_WPSOffice_Level3"/>
      <w:bookmarkStart w:id="228" w:name="_Toc23479_WPSOffice_Level3"/>
      <w:bookmarkStart w:id="229" w:name="_Toc6217_WPSOffice_Level3"/>
      <w:bookmarkStart w:id="230" w:name="_Toc24076_WPSOffice_Level3"/>
      <w:r>
        <w:rPr>
          <w:rFonts w:hint="eastAsia" w:ascii="仿宋" w:hAnsi="仿宋" w:eastAsia="仿宋" w:cs="仿宋"/>
          <w:b/>
          <w:bCs/>
          <w:szCs w:val="28"/>
        </w:rPr>
        <w:t>表3-4 经核查的排放源信息</w:t>
      </w:r>
      <w:bookmarkEnd w:id="227"/>
      <w:bookmarkEnd w:id="228"/>
      <w:bookmarkEnd w:id="229"/>
      <w:bookmarkEnd w:id="230"/>
    </w:p>
    <w:tbl>
      <w:tblPr>
        <w:tblStyle w:val="27"/>
        <w:tblW w:w="8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2791"/>
        <w:gridCol w:w="1673"/>
        <w:gridCol w:w="1933"/>
        <w:gridCol w:w="1461"/>
      </w:tblGrid>
      <w:tr w14:paraId="70959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8" w:type="dxa"/>
            <w:vAlign w:val="center"/>
          </w:tcPr>
          <w:p w14:paraId="7A84DCCE">
            <w:pPr>
              <w:pStyle w:val="66"/>
              <w:adjustRightInd/>
              <w:rPr>
                <w:rFonts w:hint="eastAsia" w:ascii="仿宋" w:hAnsi="仿宋" w:eastAsia="仿宋" w:cs="仿宋"/>
                <w:b/>
              </w:rPr>
            </w:pPr>
            <w:r>
              <w:rPr>
                <w:rFonts w:hint="eastAsia" w:ascii="仿宋" w:hAnsi="仿宋" w:eastAsia="仿宋" w:cs="仿宋"/>
                <w:b/>
              </w:rPr>
              <w:t>序号</w:t>
            </w:r>
          </w:p>
        </w:tc>
        <w:tc>
          <w:tcPr>
            <w:tcW w:w="2791" w:type="dxa"/>
            <w:vAlign w:val="center"/>
          </w:tcPr>
          <w:p w14:paraId="186A65E9">
            <w:pPr>
              <w:pStyle w:val="66"/>
              <w:adjustRightInd/>
              <w:rPr>
                <w:rFonts w:hint="eastAsia" w:ascii="仿宋" w:hAnsi="仿宋" w:eastAsia="仿宋" w:cs="仿宋"/>
                <w:b/>
              </w:rPr>
            </w:pPr>
            <w:r>
              <w:rPr>
                <w:rFonts w:hint="eastAsia" w:ascii="仿宋" w:hAnsi="仿宋" w:eastAsia="仿宋" w:cs="仿宋"/>
                <w:b/>
              </w:rPr>
              <w:t>排放类别</w:t>
            </w:r>
          </w:p>
        </w:tc>
        <w:tc>
          <w:tcPr>
            <w:tcW w:w="1673" w:type="dxa"/>
            <w:vAlign w:val="center"/>
          </w:tcPr>
          <w:p w14:paraId="155979B0">
            <w:pPr>
              <w:pStyle w:val="66"/>
              <w:adjustRightInd/>
              <w:rPr>
                <w:rFonts w:hint="eastAsia" w:ascii="仿宋" w:hAnsi="仿宋" w:eastAsia="仿宋" w:cs="仿宋"/>
                <w:b/>
              </w:rPr>
            </w:pPr>
            <w:r>
              <w:rPr>
                <w:rFonts w:hint="eastAsia" w:ascii="仿宋" w:hAnsi="仿宋" w:eastAsia="仿宋" w:cs="仿宋"/>
                <w:b/>
              </w:rPr>
              <w:t>温室气体</w:t>
            </w:r>
          </w:p>
          <w:p w14:paraId="4B8E5097">
            <w:pPr>
              <w:pStyle w:val="66"/>
              <w:adjustRightInd/>
              <w:rPr>
                <w:rFonts w:hint="eastAsia" w:ascii="仿宋" w:hAnsi="仿宋" w:eastAsia="仿宋" w:cs="仿宋"/>
                <w:b/>
              </w:rPr>
            </w:pPr>
            <w:r>
              <w:rPr>
                <w:rFonts w:hint="eastAsia" w:ascii="仿宋" w:hAnsi="仿宋" w:eastAsia="仿宋" w:cs="仿宋"/>
                <w:b/>
              </w:rPr>
              <w:t>排放种类</w:t>
            </w:r>
          </w:p>
        </w:tc>
        <w:tc>
          <w:tcPr>
            <w:tcW w:w="1933" w:type="dxa"/>
            <w:vAlign w:val="center"/>
          </w:tcPr>
          <w:p w14:paraId="30011C0B">
            <w:pPr>
              <w:pStyle w:val="66"/>
              <w:adjustRightInd/>
              <w:rPr>
                <w:rFonts w:hint="eastAsia" w:ascii="仿宋" w:hAnsi="仿宋" w:eastAsia="仿宋" w:cs="仿宋"/>
                <w:b/>
              </w:rPr>
            </w:pPr>
            <w:r>
              <w:rPr>
                <w:rFonts w:hint="eastAsia" w:ascii="仿宋" w:hAnsi="仿宋" w:eastAsia="仿宋" w:cs="仿宋"/>
                <w:b/>
              </w:rPr>
              <w:t>能源/物料类型</w:t>
            </w:r>
          </w:p>
        </w:tc>
        <w:tc>
          <w:tcPr>
            <w:tcW w:w="1461" w:type="dxa"/>
            <w:vAlign w:val="center"/>
          </w:tcPr>
          <w:p w14:paraId="67314AA9">
            <w:pPr>
              <w:pStyle w:val="66"/>
              <w:adjustRightInd/>
              <w:rPr>
                <w:rFonts w:hint="eastAsia" w:ascii="仿宋" w:hAnsi="仿宋" w:eastAsia="仿宋" w:cs="仿宋"/>
                <w:b/>
              </w:rPr>
            </w:pPr>
            <w:r>
              <w:rPr>
                <w:rFonts w:hint="eastAsia" w:ascii="仿宋" w:hAnsi="仿宋" w:eastAsia="仿宋" w:cs="仿宋"/>
                <w:b/>
              </w:rPr>
              <w:t>设备名称</w:t>
            </w:r>
          </w:p>
        </w:tc>
      </w:tr>
      <w:tr w14:paraId="15271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48" w:type="dxa"/>
            <w:vAlign w:val="center"/>
          </w:tcPr>
          <w:p w14:paraId="3283BAD2">
            <w:pPr>
              <w:pStyle w:val="66"/>
              <w:adjustRightInd/>
              <w:rPr>
                <w:rFonts w:hint="eastAsia" w:ascii="仿宋" w:hAnsi="仿宋" w:eastAsia="仿宋" w:cs="仿宋"/>
              </w:rPr>
            </w:pPr>
            <w:r>
              <w:rPr>
                <w:rFonts w:hint="eastAsia" w:ascii="仿宋" w:hAnsi="仿宋" w:eastAsia="仿宋" w:cs="仿宋"/>
              </w:rPr>
              <w:t>1</w:t>
            </w:r>
          </w:p>
        </w:tc>
        <w:tc>
          <w:tcPr>
            <w:tcW w:w="2791" w:type="dxa"/>
            <w:shd w:val="clear" w:color="auto" w:fill="auto"/>
            <w:vAlign w:val="center"/>
          </w:tcPr>
          <w:p w14:paraId="4F89891E">
            <w:pPr>
              <w:pStyle w:val="66"/>
              <w:adjustRightInd/>
              <w:rPr>
                <w:rFonts w:hint="eastAsia" w:ascii="仿宋" w:hAnsi="仿宋" w:eastAsia="仿宋" w:cs="仿宋"/>
              </w:rPr>
            </w:pPr>
            <w:r>
              <w:rPr>
                <w:rFonts w:hint="eastAsia" w:ascii="仿宋" w:hAnsi="仿宋" w:eastAsia="仿宋" w:cs="仿宋"/>
              </w:rPr>
              <w:t>净购入使用的</w:t>
            </w:r>
            <w:r>
              <w:rPr>
                <w:rFonts w:hint="eastAsia" w:ascii="仿宋" w:hAnsi="仿宋" w:eastAsia="仿宋" w:cs="仿宋"/>
                <w:lang w:val="en-US" w:eastAsia="zh-CN"/>
              </w:rPr>
              <w:t>热</w:t>
            </w:r>
            <w:r>
              <w:rPr>
                <w:rFonts w:hint="eastAsia" w:ascii="仿宋" w:hAnsi="仿宋" w:eastAsia="仿宋" w:cs="仿宋"/>
              </w:rPr>
              <w:t>力排放</w:t>
            </w:r>
          </w:p>
        </w:tc>
        <w:tc>
          <w:tcPr>
            <w:tcW w:w="1673" w:type="dxa"/>
            <w:shd w:val="clear" w:color="auto" w:fill="auto"/>
            <w:vAlign w:val="center"/>
          </w:tcPr>
          <w:p w14:paraId="6824DC0B">
            <w:pPr>
              <w:pStyle w:val="66"/>
              <w:adjustRightInd/>
              <w:rPr>
                <w:rFonts w:hint="eastAsia" w:ascii="仿宋" w:hAnsi="仿宋" w:eastAsia="仿宋" w:cs="仿宋"/>
              </w:rPr>
            </w:pPr>
            <w:r>
              <w:rPr>
                <w:rFonts w:hint="eastAsia" w:ascii="仿宋" w:hAnsi="仿宋" w:eastAsia="仿宋" w:cs="仿宋"/>
              </w:rPr>
              <w:t>二氧化碳</w:t>
            </w:r>
          </w:p>
        </w:tc>
        <w:tc>
          <w:tcPr>
            <w:tcW w:w="1933" w:type="dxa"/>
            <w:shd w:val="clear" w:color="auto" w:fill="auto"/>
            <w:vAlign w:val="center"/>
          </w:tcPr>
          <w:p w14:paraId="70D0A7D3">
            <w:pPr>
              <w:pStyle w:val="66"/>
              <w:adjustRightInd/>
              <w:rPr>
                <w:rFonts w:hint="eastAsia" w:ascii="仿宋" w:hAnsi="仿宋" w:eastAsia="仿宋" w:cs="仿宋"/>
                <w:lang w:eastAsia="zh-CN"/>
              </w:rPr>
            </w:pPr>
            <w:r>
              <w:rPr>
                <w:rFonts w:hint="eastAsia" w:ascii="仿宋" w:hAnsi="仿宋" w:eastAsia="仿宋" w:cs="仿宋"/>
                <w:lang w:val="en-US" w:eastAsia="zh-CN"/>
              </w:rPr>
              <w:t>蒸汽</w:t>
            </w:r>
          </w:p>
        </w:tc>
        <w:tc>
          <w:tcPr>
            <w:tcW w:w="1461" w:type="dxa"/>
            <w:shd w:val="clear" w:color="auto" w:fill="auto"/>
            <w:vAlign w:val="center"/>
          </w:tcPr>
          <w:p w14:paraId="38079798">
            <w:pPr>
              <w:pStyle w:val="66"/>
              <w:adjustRightInd/>
              <w:rPr>
                <w:rFonts w:hint="eastAsia" w:ascii="仿宋" w:hAnsi="仿宋" w:eastAsia="仿宋" w:cs="仿宋"/>
              </w:rPr>
            </w:pPr>
            <w:r>
              <w:rPr>
                <w:rFonts w:hint="eastAsia" w:ascii="仿宋" w:hAnsi="仿宋" w:eastAsia="仿宋" w:cs="仿宋"/>
              </w:rPr>
              <w:t>厂区内生产设备</w:t>
            </w:r>
          </w:p>
        </w:tc>
      </w:tr>
      <w:tr w14:paraId="38A56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8" w:type="dxa"/>
            <w:vAlign w:val="center"/>
          </w:tcPr>
          <w:p w14:paraId="034948C2">
            <w:pPr>
              <w:pStyle w:val="66"/>
              <w:adjustRightInd/>
              <w:rPr>
                <w:rFonts w:hint="eastAsia" w:ascii="仿宋" w:hAnsi="仿宋" w:eastAsia="仿宋" w:cs="仿宋"/>
              </w:rPr>
            </w:pPr>
            <w:r>
              <w:rPr>
                <w:rFonts w:hint="eastAsia" w:ascii="仿宋" w:hAnsi="仿宋" w:eastAsia="仿宋" w:cs="仿宋"/>
              </w:rPr>
              <w:t>2</w:t>
            </w:r>
          </w:p>
        </w:tc>
        <w:tc>
          <w:tcPr>
            <w:tcW w:w="2791" w:type="dxa"/>
            <w:vAlign w:val="center"/>
          </w:tcPr>
          <w:p w14:paraId="514CC9C7">
            <w:pPr>
              <w:pStyle w:val="66"/>
              <w:adjustRightInd/>
              <w:jc w:val="left"/>
              <w:rPr>
                <w:rFonts w:hint="eastAsia" w:ascii="仿宋" w:hAnsi="仿宋" w:eastAsia="仿宋" w:cs="仿宋"/>
              </w:rPr>
            </w:pPr>
            <w:r>
              <w:rPr>
                <w:rFonts w:hint="eastAsia" w:ascii="仿宋" w:hAnsi="仿宋" w:eastAsia="仿宋" w:cs="仿宋"/>
              </w:rPr>
              <w:t>净购入使用的电力排放</w:t>
            </w:r>
          </w:p>
        </w:tc>
        <w:tc>
          <w:tcPr>
            <w:tcW w:w="1673" w:type="dxa"/>
            <w:vAlign w:val="center"/>
          </w:tcPr>
          <w:p w14:paraId="7282ED99">
            <w:pPr>
              <w:pStyle w:val="66"/>
              <w:adjustRightInd/>
              <w:rPr>
                <w:rFonts w:hint="eastAsia" w:ascii="仿宋" w:hAnsi="仿宋" w:eastAsia="仿宋" w:cs="仿宋"/>
              </w:rPr>
            </w:pPr>
            <w:r>
              <w:rPr>
                <w:rFonts w:hint="eastAsia" w:ascii="仿宋" w:hAnsi="仿宋" w:eastAsia="仿宋" w:cs="仿宋"/>
              </w:rPr>
              <w:t>二氧化碳</w:t>
            </w:r>
          </w:p>
        </w:tc>
        <w:tc>
          <w:tcPr>
            <w:tcW w:w="1933" w:type="dxa"/>
            <w:vAlign w:val="center"/>
          </w:tcPr>
          <w:p w14:paraId="7E75B803">
            <w:pPr>
              <w:pStyle w:val="66"/>
              <w:adjustRightInd/>
              <w:rPr>
                <w:rFonts w:hint="eastAsia" w:ascii="仿宋" w:hAnsi="仿宋" w:eastAsia="仿宋" w:cs="仿宋"/>
              </w:rPr>
            </w:pPr>
            <w:r>
              <w:rPr>
                <w:rFonts w:hint="eastAsia" w:ascii="仿宋" w:hAnsi="仿宋" w:eastAsia="仿宋" w:cs="仿宋"/>
              </w:rPr>
              <w:t>电</w:t>
            </w:r>
          </w:p>
        </w:tc>
        <w:tc>
          <w:tcPr>
            <w:tcW w:w="1461" w:type="dxa"/>
            <w:vAlign w:val="center"/>
          </w:tcPr>
          <w:p w14:paraId="47CBADFA">
            <w:pPr>
              <w:pStyle w:val="66"/>
              <w:adjustRightInd/>
              <w:rPr>
                <w:rFonts w:hint="eastAsia" w:ascii="仿宋" w:hAnsi="仿宋" w:eastAsia="仿宋" w:cs="仿宋"/>
              </w:rPr>
            </w:pPr>
            <w:r>
              <w:rPr>
                <w:rFonts w:hint="eastAsia" w:ascii="仿宋" w:hAnsi="仿宋" w:eastAsia="仿宋" w:cs="仿宋"/>
              </w:rPr>
              <w:t>厂区内生产设备</w:t>
            </w:r>
          </w:p>
        </w:tc>
      </w:tr>
    </w:tbl>
    <w:p w14:paraId="785B2F1E">
      <w:pPr>
        <w:rPr>
          <w:rFonts w:hint="eastAsia" w:ascii="仿宋" w:hAnsi="仿宋" w:eastAsia="仿宋" w:cs="仿宋"/>
          <w:szCs w:val="28"/>
        </w:rPr>
      </w:pPr>
      <w:r>
        <w:rPr>
          <w:rFonts w:hint="eastAsia" w:ascii="仿宋" w:hAnsi="仿宋" w:eastAsia="仿宋" w:cs="仿宋"/>
          <w:szCs w:val="28"/>
        </w:rPr>
        <w:t>综上所述，核查组确认受核查方是以独立法人核算单位为边界核算和报告其温室气体排放，排放报告中的排放设施和排放源识别完整准确，核算边界与《工业其他行业企业温室气体排放核算方法与报告指南（试行）》的要求一致。</w:t>
      </w:r>
    </w:p>
    <w:p w14:paraId="6883632D">
      <w:pPr>
        <w:pStyle w:val="3"/>
        <w:spacing w:beforeLines="50" w:afterLines="50"/>
        <w:rPr>
          <w:rFonts w:hint="eastAsia" w:ascii="仿宋" w:hAnsi="仿宋" w:eastAsia="仿宋" w:cs="仿宋"/>
          <w:sz w:val="28"/>
          <w:szCs w:val="28"/>
        </w:rPr>
      </w:pPr>
      <w:bookmarkStart w:id="231" w:name="_Toc5269"/>
      <w:bookmarkStart w:id="232" w:name="_Toc444196304"/>
      <w:bookmarkStart w:id="233" w:name="_Toc444197195"/>
      <w:bookmarkStart w:id="234" w:name="_Toc27362"/>
      <w:bookmarkStart w:id="235" w:name="_Toc23459"/>
      <w:bookmarkStart w:id="236" w:name="_Toc14798"/>
      <w:bookmarkStart w:id="237" w:name="_Toc15447"/>
      <w:bookmarkStart w:id="238" w:name="_Toc2620"/>
      <w:bookmarkStart w:id="239" w:name="_Toc12650"/>
      <w:bookmarkStart w:id="240" w:name="_Toc503300121"/>
      <w:bookmarkStart w:id="241" w:name="_Toc21276"/>
      <w:bookmarkStart w:id="242" w:name="_Toc18504_WPSOffice_Level2"/>
      <w:bookmarkStart w:id="243" w:name="_Toc9493"/>
      <w:r>
        <w:rPr>
          <w:rFonts w:hint="eastAsia" w:ascii="仿宋" w:hAnsi="仿宋" w:eastAsia="仿宋" w:cs="仿宋"/>
          <w:sz w:val="28"/>
          <w:szCs w:val="28"/>
        </w:rPr>
        <w:t>3.3 核算方法的核查</w:t>
      </w:r>
      <w:bookmarkEnd w:id="231"/>
      <w:bookmarkEnd w:id="232"/>
      <w:bookmarkEnd w:id="233"/>
      <w:bookmarkEnd w:id="234"/>
      <w:bookmarkEnd w:id="235"/>
      <w:bookmarkEnd w:id="236"/>
      <w:bookmarkEnd w:id="237"/>
      <w:bookmarkEnd w:id="238"/>
      <w:bookmarkEnd w:id="239"/>
      <w:bookmarkEnd w:id="240"/>
      <w:bookmarkEnd w:id="241"/>
      <w:bookmarkEnd w:id="242"/>
      <w:bookmarkEnd w:id="243"/>
    </w:p>
    <w:p w14:paraId="2EB55C73">
      <w:pPr>
        <w:rPr>
          <w:rFonts w:hint="eastAsia" w:ascii="仿宋" w:hAnsi="仿宋" w:eastAsia="仿宋" w:cs="仿宋"/>
          <w:szCs w:val="28"/>
        </w:rPr>
      </w:pPr>
      <w:bookmarkStart w:id="244" w:name="_Toc444196306"/>
      <w:bookmarkStart w:id="245" w:name="_Toc444197197"/>
      <w:r>
        <w:rPr>
          <w:rFonts w:hint="eastAsia" w:ascii="仿宋" w:hAnsi="仿宋" w:eastAsia="仿宋" w:cs="仿宋"/>
          <w:szCs w:val="28"/>
        </w:rPr>
        <w:t>根据《工业其他行业企业温室气体排放核算方法与报告指南（试行）》要求，经核查的温室气体排放核算方法如下：</w:t>
      </w:r>
    </w:p>
    <w:p w14:paraId="61A124EB">
      <w:pPr>
        <w:rPr>
          <w:rFonts w:hint="eastAsia" w:ascii="仿宋" w:hAnsi="仿宋" w:eastAsia="仿宋" w:cs="仿宋"/>
        </w:rPr>
      </w:pPr>
      <w:r>
        <w:rPr>
          <w:rFonts w:hint="eastAsia" w:ascii="仿宋" w:hAnsi="仿宋" w:eastAsia="仿宋" w:cs="仿宋"/>
        </w:rPr>
        <w:t>企业温室气体排放总量等于化石燃料燃烧CO</w:t>
      </w:r>
      <w:r>
        <w:rPr>
          <w:rFonts w:hint="eastAsia" w:ascii="仿宋" w:hAnsi="仿宋" w:eastAsia="仿宋" w:cs="仿宋"/>
          <w:vertAlign w:val="subscript"/>
        </w:rPr>
        <w:t>2</w:t>
      </w:r>
      <w:r>
        <w:rPr>
          <w:rFonts w:hint="eastAsia" w:ascii="仿宋" w:hAnsi="仿宋" w:eastAsia="仿宋" w:cs="仿宋"/>
        </w:rPr>
        <w:t>排放、脱硫过程CO</w:t>
      </w:r>
      <w:r>
        <w:rPr>
          <w:rFonts w:hint="eastAsia" w:ascii="仿宋" w:hAnsi="仿宋" w:eastAsia="仿宋" w:cs="仿宋"/>
          <w:vertAlign w:val="subscript"/>
        </w:rPr>
        <w:t>2</w:t>
      </w:r>
      <w:r>
        <w:rPr>
          <w:rFonts w:hint="eastAsia" w:ascii="仿宋" w:hAnsi="仿宋" w:eastAsia="仿宋" w:cs="仿宋"/>
        </w:rPr>
        <w:t>排放和企业净购入使用电力产生的CO</w:t>
      </w:r>
      <w:r>
        <w:rPr>
          <w:rFonts w:hint="eastAsia" w:ascii="仿宋" w:hAnsi="仿宋" w:eastAsia="仿宋" w:cs="仿宋"/>
          <w:vertAlign w:val="subscript"/>
        </w:rPr>
        <w:t>2</w:t>
      </w:r>
      <w:r>
        <w:rPr>
          <w:rFonts w:hint="eastAsia" w:ascii="仿宋" w:hAnsi="仿宋" w:eastAsia="仿宋" w:cs="仿宋"/>
        </w:rPr>
        <w:t>排放之和。受核查方排放量（E）计算如下：</w:t>
      </w:r>
    </w:p>
    <w:p w14:paraId="3177A91F">
      <w:pPr>
        <w:rPr>
          <w:rFonts w:hint="eastAsia" w:ascii="仿宋" w:hAnsi="仿宋" w:eastAsia="仿宋" w:cs="仿宋"/>
        </w:rPr>
      </w:pPr>
      <w:r>
        <w:rPr>
          <w:rFonts w:hint="eastAsia" w:ascii="仿宋" w:hAnsi="仿宋" w:eastAsia="仿宋" w:cs="仿宋"/>
        </w:rPr>
        <w:t>E</w:t>
      </w:r>
      <w:r>
        <w:rPr>
          <w:rFonts w:hint="eastAsia" w:ascii="仿宋" w:hAnsi="仿宋" w:eastAsia="仿宋" w:cs="仿宋"/>
          <w:vertAlign w:val="subscript"/>
        </w:rPr>
        <w:t>GHG</w:t>
      </w:r>
      <w:r>
        <w:rPr>
          <w:rFonts w:hint="eastAsia" w:ascii="仿宋" w:hAnsi="仿宋" w:eastAsia="仿宋" w:cs="仿宋"/>
        </w:rPr>
        <w:t>=E</w:t>
      </w:r>
      <w:r>
        <w:rPr>
          <w:rFonts w:hint="eastAsia" w:ascii="仿宋" w:hAnsi="仿宋" w:eastAsia="仿宋" w:cs="仿宋"/>
          <w:vertAlign w:val="subscript"/>
        </w:rPr>
        <w:t>燃烧</w:t>
      </w:r>
      <w:r>
        <w:rPr>
          <w:rFonts w:hint="eastAsia" w:ascii="仿宋" w:hAnsi="仿宋" w:eastAsia="仿宋" w:cs="仿宋"/>
          <w:szCs w:val="28"/>
        </w:rPr>
        <w:t xml:space="preserve">+ </w:t>
      </w:r>
      <w:r>
        <w:rPr>
          <w:rFonts w:hint="eastAsia" w:ascii="仿宋" w:hAnsi="仿宋" w:eastAsia="仿宋" w:cs="仿宋"/>
        </w:rPr>
        <w:t>E</w:t>
      </w:r>
      <w:r>
        <w:rPr>
          <w:rFonts w:hint="eastAsia" w:ascii="仿宋" w:hAnsi="仿宋" w:eastAsia="仿宋" w:cs="仿宋"/>
          <w:vertAlign w:val="subscript"/>
        </w:rPr>
        <w:t>碳酸盐</w:t>
      </w:r>
      <w:r>
        <w:rPr>
          <w:rFonts w:hint="eastAsia" w:ascii="仿宋" w:hAnsi="仿宋" w:eastAsia="仿宋" w:cs="仿宋"/>
          <w:szCs w:val="28"/>
        </w:rPr>
        <w:t xml:space="preserve">+（ </w:t>
      </w:r>
      <w:r>
        <w:rPr>
          <w:rFonts w:hint="eastAsia" w:ascii="仿宋" w:hAnsi="仿宋" w:eastAsia="仿宋" w:cs="仿宋"/>
        </w:rPr>
        <w:t>E</w:t>
      </w:r>
      <w:r>
        <w:rPr>
          <w:rFonts w:hint="eastAsia" w:ascii="仿宋" w:hAnsi="仿宋" w:eastAsia="仿宋" w:cs="仿宋"/>
          <w:vertAlign w:val="subscript"/>
        </w:rPr>
        <w:t>CH4</w:t>
      </w:r>
      <w:r>
        <w:rPr>
          <w:rFonts w:hint="eastAsia" w:ascii="仿宋" w:hAnsi="仿宋" w:eastAsia="仿宋" w:cs="仿宋"/>
          <w:szCs w:val="28"/>
          <w:vertAlign w:val="subscript"/>
        </w:rPr>
        <w:t>-废水</w:t>
      </w:r>
      <w:r>
        <w:rPr>
          <w:rFonts w:hint="eastAsia" w:ascii="仿宋" w:hAnsi="仿宋" w:eastAsia="仿宋" w:cs="仿宋"/>
          <w:szCs w:val="28"/>
        </w:rPr>
        <w:t>-</w:t>
      </w:r>
      <w:r>
        <w:rPr>
          <w:rFonts w:hint="eastAsia" w:ascii="仿宋" w:hAnsi="仿宋" w:eastAsia="仿宋" w:cs="仿宋"/>
        </w:rPr>
        <w:t>R</w:t>
      </w:r>
      <w:r>
        <w:rPr>
          <w:rFonts w:hint="eastAsia" w:ascii="仿宋" w:hAnsi="仿宋" w:eastAsia="仿宋" w:cs="仿宋"/>
          <w:vertAlign w:val="subscript"/>
        </w:rPr>
        <w:t>CH4</w:t>
      </w:r>
      <w:r>
        <w:rPr>
          <w:rFonts w:hint="eastAsia" w:ascii="仿宋" w:hAnsi="仿宋" w:eastAsia="仿宋" w:cs="仿宋"/>
          <w:szCs w:val="28"/>
          <w:vertAlign w:val="subscript"/>
        </w:rPr>
        <w:t>-回收销毁</w:t>
      </w:r>
      <w:r>
        <w:rPr>
          <w:rFonts w:hint="eastAsia" w:ascii="仿宋" w:hAnsi="仿宋" w:eastAsia="仿宋" w:cs="仿宋"/>
          <w:szCs w:val="28"/>
        </w:rPr>
        <w:t>）*GWP</w:t>
      </w:r>
      <w:r>
        <w:rPr>
          <w:rFonts w:hint="eastAsia" w:ascii="仿宋" w:hAnsi="仿宋" w:eastAsia="仿宋" w:cs="仿宋"/>
          <w:vertAlign w:val="subscript"/>
        </w:rPr>
        <w:t>CH4</w:t>
      </w:r>
      <w:r>
        <w:rPr>
          <w:rFonts w:hint="eastAsia" w:ascii="仿宋" w:hAnsi="仿宋" w:eastAsia="仿宋" w:cs="仿宋"/>
          <w:szCs w:val="28"/>
        </w:rPr>
        <w:t>-R</w:t>
      </w:r>
      <w:r>
        <w:rPr>
          <w:rFonts w:hint="eastAsia" w:ascii="仿宋" w:hAnsi="仿宋" w:eastAsia="仿宋" w:cs="仿宋"/>
          <w:szCs w:val="28"/>
          <w:vertAlign w:val="subscript"/>
        </w:rPr>
        <w:t>CO2回收</w:t>
      </w:r>
      <w:r>
        <w:rPr>
          <w:rFonts w:hint="eastAsia" w:ascii="仿宋" w:hAnsi="仿宋" w:eastAsia="仿宋" w:cs="仿宋"/>
          <w:szCs w:val="28"/>
        </w:rPr>
        <w:t>+ E</w:t>
      </w:r>
      <w:r>
        <w:rPr>
          <w:rFonts w:hint="eastAsia" w:ascii="仿宋" w:hAnsi="仿宋" w:eastAsia="仿宋" w:cs="仿宋"/>
          <w:szCs w:val="28"/>
          <w:vertAlign w:val="subscript"/>
        </w:rPr>
        <w:t>CO2</w:t>
      </w:r>
      <w:r>
        <w:rPr>
          <w:rFonts w:hint="eastAsia" w:ascii="仿宋" w:hAnsi="仿宋" w:eastAsia="仿宋" w:cs="仿宋"/>
          <w:szCs w:val="28"/>
        </w:rPr>
        <w:t>_</w:t>
      </w:r>
      <w:r>
        <w:rPr>
          <w:rFonts w:hint="eastAsia" w:ascii="仿宋" w:hAnsi="仿宋" w:eastAsia="仿宋" w:cs="仿宋"/>
          <w:szCs w:val="28"/>
          <w:vertAlign w:val="subscript"/>
        </w:rPr>
        <w:t>热</w:t>
      </w:r>
      <w:r>
        <w:rPr>
          <w:rFonts w:hint="eastAsia" w:ascii="仿宋" w:hAnsi="仿宋" w:eastAsia="仿宋" w:cs="仿宋"/>
          <w:szCs w:val="28"/>
        </w:rPr>
        <w:t>+ E</w:t>
      </w:r>
      <w:r>
        <w:rPr>
          <w:rFonts w:hint="eastAsia" w:ascii="仿宋" w:hAnsi="仿宋" w:eastAsia="仿宋" w:cs="仿宋"/>
          <w:szCs w:val="28"/>
          <w:vertAlign w:val="subscript"/>
        </w:rPr>
        <w:t>CO2</w:t>
      </w:r>
      <w:r>
        <w:rPr>
          <w:rFonts w:hint="eastAsia" w:ascii="仿宋" w:hAnsi="仿宋" w:eastAsia="仿宋" w:cs="仿宋"/>
          <w:szCs w:val="28"/>
        </w:rPr>
        <w:t>_</w:t>
      </w:r>
      <w:r>
        <w:rPr>
          <w:rFonts w:hint="eastAsia" w:ascii="仿宋" w:hAnsi="仿宋" w:eastAsia="仿宋" w:cs="仿宋"/>
          <w:szCs w:val="28"/>
          <w:vertAlign w:val="subscript"/>
        </w:rPr>
        <w:t>电</w:t>
      </w:r>
      <w:r>
        <w:rPr>
          <w:rFonts w:hint="eastAsia" w:ascii="仿宋" w:hAnsi="仿宋" w:eastAsia="仿宋" w:cs="仿宋"/>
        </w:rPr>
        <w:t>――――――――――――――――――――――公式1</w:t>
      </w:r>
    </w:p>
    <w:p w14:paraId="39061A07">
      <w:pPr>
        <w:rPr>
          <w:rFonts w:hint="eastAsia" w:ascii="仿宋" w:hAnsi="仿宋" w:eastAsia="仿宋" w:cs="仿宋"/>
        </w:rPr>
      </w:pPr>
      <w:r>
        <w:rPr>
          <w:rFonts w:hint="eastAsia" w:ascii="仿宋" w:hAnsi="仿宋" w:eastAsia="仿宋" w:cs="仿宋"/>
        </w:rPr>
        <w:t>式中：</w:t>
      </w:r>
    </w:p>
    <w:tbl>
      <w:tblPr>
        <w:tblStyle w:val="27"/>
        <w:tblW w:w="0" w:type="auto"/>
        <w:tblInd w:w="0" w:type="dxa"/>
        <w:tblLayout w:type="fixed"/>
        <w:tblCellMar>
          <w:top w:w="0" w:type="dxa"/>
          <w:left w:w="108" w:type="dxa"/>
          <w:bottom w:w="0" w:type="dxa"/>
          <w:right w:w="108" w:type="dxa"/>
        </w:tblCellMar>
      </w:tblPr>
      <w:tblGrid>
        <w:gridCol w:w="1809"/>
        <w:gridCol w:w="6663"/>
      </w:tblGrid>
      <w:tr w14:paraId="5D473DBC">
        <w:tblPrEx>
          <w:tblCellMar>
            <w:top w:w="0" w:type="dxa"/>
            <w:left w:w="108" w:type="dxa"/>
            <w:bottom w:w="0" w:type="dxa"/>
            <w:right w:w="108" w:type="dxa"/>
          </w:tblCellMar>
        </w:tblPrEx>
        <w:tc>
          <w:tcPr>
            <w:tcW w:w="1809" w:type="dxa"/>
          </w:tcPr>
          <w:p w14:paraId="6C1D30E4">
            <w:pPr>
              <w:rPr>
                <w:rFonts w:hint="eastAsia" w:ascii="仿宋" w:hAnsi="仿宋" w:eastAsia="仿宋" w:cs="仿宋"/>
              </w:rPr>
            </w:pPr>
            <w:r>
              <w:rPr>
                <w:rFonts w:hint="eastAsia" w:ascii="仿宋" w:hAnsi="仿宋" w:eastAsia="仿宋" w:cs="仿宋"/>
              </w:rPr>
              <w:t>E</w:t>
            </w:r>
            <w:r>
              <w:rPr>
                <w:rFonts w:hint="eastAsia" w:ascii="仿宋" w:hAnsi="仿宋" w:eastAsia="仿宋" w:cs="仿宋"/>
                <w:vertAlign w:val="subscript"/>
              </w:rPr>
              <w:t>GHG</w:t>
            </w:r>
          </w:p>
        </w:tc>
        <w:tc>
          <w:tcPr>
            <w:tcW w:w="6663" w:type="dxa"/>
          </w:tcPr>
          <w:p w14:paraId="13F71E3B">
            <w:pPr>
              <w:ind w:firstLine="30" w:firstLineChars="11"/>
              <w:rPr>
                <w:rFonts w:hint="eastAsia" w:ascii="仿宋" w:hAnsi="仿宋" w:eastAsia="仿宋" w:cs="仿宋"/>
              </w:rPr>
            </w:pPr>
            <w:r>
              <w:rPr>
                <w:rFonts w:hint="eastAsia" w:ascii="仿宋" w:hAnsi="仿宋" w:eastAsia="仿宋" w:cs="仿宋"/>
              </w:rPr>
              <w:t>二氧化碳排放总量，单位为吨（tCO</w:t>
            </w:r>
            <w:r>
              <w:rPr>
                <w:rFonts w:hint="eastAsia" w:ascii="仿宋" w:hAnsi="仿宋" w:eastAsia="仿宋" w:cs="仿宋"/>
                <w:vertAlign w:val="subscript"/>
              </w:rPr>
              <w:t>2</w:t>
            </w:r>
            <w:r>
              <w:rPr>
                <w:rFonts w:hint="eastAsia" w:ascii="仿宋" w:hAnsi="仿宋" w:eastAsia="仿宋" w:cs="仿宋"/>
              </w:rPr>
              <w:t>）；</w:t>
            </w:r>
          </w:p>
        </w:tc>
      </w:tr>
      <w:tr w14:paraId="087911D7">
        <w:tblPrEx>
          <w:tblCellMar>
            <w:top w:w="0" w:type="dxa"/>
            <w:left w:w="108" w:type="dxa"/>
            <w:bottom w:w="0" w:type="dxa"/>
            <w:right w:w="108" w:type="dxa"/>
          </w:tblCellMar>
        </w:tblPrEx>
        <w:tc>
          <w:tcPr>
            <w:tcW w:w="1809" w:type="dxa"/>
          </w:tcPr>
          <w:p w14:paraId="1C61AF9C">
            <w:pPr>
              <w:rPr>
                <w:rFonts w:hint="eastAsia" w:ascii="仿宋" w:hAnsi="仿宋" w:eastAsia="仿宋" w:cs="仿宋"/>
              </w:rPr>
            </w:pPr>
            <w:r>
              <w:rPr>
                <w:rFonts w:hint="eastAsia" w:ascii="仿宋" w:hAnsi="仿宋" w:eastAsia="仿宋" w:cs="仿宋"/>
              </w:rPr>
              <w:t>E</w:t>
            </w:r>
            <w:r>
              <w:rPr>
                <w:rFonts w:hint="eastAsia" w:ascii="仿宋" w:hAnsi="仿宋" w:eastAsia="仿宋" w:cs="仿宋"/>
                <w:vertAlign w:val="subscript"/>
              </w:rPr>
              <w:t>燃烧</w:t>
            </w:r>
          </w:p>
        </w:tc>
        <w:tc>
          <w:tcPr>
            <w:tcW w:w="6663" w:type="dxa"/>
          </w:tcPr>
          <w:p w14:paraId="682C5566">
            <w:pPr>
              <w:ind w:firstLine="0" w:firstLineChars="0"/>
              <w:rPr>
                <w:rFonts w:hint="eastAsia" w:ascii="仿宋" w:hAnsi="仿宋" w:eastAsia="仿宋" w:cs="仿宋"/>
              </w:rPr>
            </w:pPr>
            <w:r>
              <w:rPr>
                <w:rFonts w:hint="eastAsia" w:ascii="仿宋" w:hAnsi="仿宋" w:eastAsia="仿宋" w:cs="仿宋"/>
              </w:rPr>
              <w:t>化石燃料燃烧CO</w:t>
            </w:r>
            <w:r>
              <w:rPr>
                <w:rFonts w:hint="eastAsia" w:ascii="仿宋" w:hAnsi="仿宋" w:eastAsia="仿宋" w:cs="仿宋"/>
                <w:vertAlign w:val="subscript"/>
              </w:rPr>
              <w:t>2</w:t>
            </w:r>
            <w:r>
              <w:rPr>
                <w:rFonts w:hint="eastAsia" w:ascii="仿宋" w:hAnsi="仿宋" w:eastAsia="仿宋" w:cs="仿宋"/>
              </w:rPr>
              <w:t>排放，单位为tCO</w:t>
            </w:r>
            <w:r>
              <w:rPr>
                <w:rFonts w:hint="eastAsia" w:ascii="仿宋" w:hAnsi="仿宋" w:eastAsia="仿宋" w:cs="仿宋"/>
                <w:vertAlign w:val="subscript"/>
              </w:rPr>
              <w:t>2</w:t>
            </w:r>
            <w:r>
              <w:rPr>
                <w:rFonts w:hint="eastAsia" w:ascii="仿宋" w:hAnsi="仿宋" w:eastAsia="仿宋" w:cs="仿宋"/>
              </w:rPr>
              <w:t>；</w:t>
            </w:r>
          </w:p>
        </w:tc>
      </w:tr>
      <w:tr w14:paraId="08B18249">
        <w:tblPrEx>
          <w:tblCellMar>
            <w:top w:w="0" w:type="dxa"/>
            <w:left w:w="108" w:type="dxa"/>
            <w:bottom w:w="0" w:type="dxa"/>
            <w:right w:w="108" w:type="dxa"/>
          </w:tblCellMar>
        </w:tblPrEx>
        <w:tc>
          <w:tcPr>
            <w:tcW w:w="1809" w:type="dxa"/>
          </w:tcPr>
          <w:p w14:paraId="4B3CFAAF">
            <w:pPr>
              <w:rPr>
                <w:rFonts w:hint="eastAsia" w:ascii="仿宋" w:hAnsi="仿宋" w:eastAsia="仿宋" w:cs="仿宋"/>
                <w:szCs w:val="28"/>
              </w:rPr>
            </w:pPr>
            <w:r>
              <w:rPr>
                <w:rFonts w:hint="eastAsia" w:ascii="仿宋" w:hAnsi="仿宋" w:eastAsia="仿宋" w:cs="仿宋"/>
                <w:szCs w:val="28"/>
              </w:rPr>
              <w:t>E</w:t>
            </w:r>
            <w:r>
              <w:rPr>
                <w:rFonts w:hint="eastAsia" w:ascii="仿宋" w:hAnsi="仿宋" w:eastAsia="仿宋" w:cs="仿宋"/>
                <w:szCs w:val="28"/>
                <w:vertAlign w:val="subscript"/>
              </w:rPr>
              <w:t>CH4</w:t>
            </w:r>
            <w:r>
              <w:rPr>
                <w:rFonts w:hint="eastAsia" w:ascii="仿宋" w:hAnsi="仿宋" w:eastAsia="仿宋" w:cs="仿宋"/>
                <w:szCs w:val="28"/>
              </w:rPr>
              <w:t>_</w:t>
            </w:r>
            <w:r>
              <w:rPr>
                <w:rFonts w:hint="eastAsia" w:ascii="仿宋" w:hAnsi="仿宋" w:eastAsia="仿宋" w:cs="仿宋"/>
                <w:szCs w:val="28"/>
                <w:vertAlign w:val="subscript"/>
              </w:rPr>
              <w:t>废水</w:t>
            </w:r>
          </w:p>
        </w:tc>
        <w:tc>
          <w:tcPr>
            <w:tcW w:w="6663" w:type="dxa"/>
          </w:tcPr>
          <w:p w14:paraId="09C757A6">
            <w:pPr>
              <w:ind w:firstLine="0" w:firstLineChars="0"/>
              <w:rPr>
                <w:rFonts w:hint="eastAsia" w:ascii="仿宋" w:hAnsi="仿宋" w:eastAsia="仿宋" w:cs="仿宋"/>
                <w:szCs w:val="28"/>
              </w:rPr>
            </w:pPr>
            <w:r>
              <w:rPr>
                <w:rFonts w:hint="eastAsia" w:ascii="仿宋" w:hAnsi="仿宋" w:eastAsia="仿宋" w:cs="仿宋"/>
                <w:szCs w:val="28"/>
              </w:rPr>
              <w:t>废水厌氧处理产生的 CH</w:t>
            </w:r>
            <w:r>
              <w:rPr>
                <w:rFonts w:hint="eastAsia" w:ascii="仿宋" w:hAnsi="仿宋" w:eastAsia="仿宋" w:cs="仿宋"/>
                <w:szCs w:val="28"/>
                <w:vertAlign w:val="subscript"/>
              </w:rPr>
              <w:t>4</w:t>
            </w:r>
            <w:r>
              <w:rPr>
                <w:rFonts w:hint="eastAsia" w:ascii="仿宋" w:hAnsi="仿宋" w:eastAsia="仿宋" w:cs="仿宋"/>
                <w:szCs w:val="28"/>
              </w:rPr>
              <w:t>排放量，单位为tCH</w:t>
            </w:r>
            <w:r>
              <w:rPr>
                <w:rFonts w:hint="eastAsia" w:ascii="仿宋" w:hAnsi="仿宋" w:eastAsia="仿宋" w:cs="仿宋"/>
                <w:szCs w:val="28"/>
                <w:vertAlign w:val="subscript"/>
              </w:rPr>
              <w:t>4</w:t>
            </w:r>
          </w:p>
        </w:tc>
      </w:tr>
      <w:tr w14:paraId="28334A7D">
        <w:tblPrEx>
          <w:tblCellMar>
            <w:top w:w="0" w:type="dxa"/>
            <w:left w:w="108" w:type="dxa"/>
            <w:bottom w:w="0" w:type="dxa"/>
            <w:right w:w="108" w:type="dxa"/>
          </w:tblCellMar>
        </w:tblPrEx>
        <w:tc>
          <w:tcPr>
            <w:tcW w:w="1809" w:type="dxa"/>
          </w:tcPr>
          <w:p w14:paraId="4233C241">
            <w:pPr>
              <w:rPr>
                <w:rFonts w:hint="eastAsia" w:ascii="仿宋" w:hAnsi="仿宋" w:eastAsia="仿宋" w:cs="仿宋"/>
                <w:szCs w:val="28"/>
              </w:rPr>
            </w:pPr>
            <w:r>
              <w:rPr>
                <w:rFonts w:hint="eastAsia" w:ascii="仿宋" w:hAnsi="仿宋" w:eastAsia="仿宋" w:cs="仿宋"/>
              </w:rPr>
              <w:t>R</w:t>
            </w:r>
            <w:r>
              <w:rPr>
                <w:rFonts w:hint="eastAsia" w:ascii="仿宋" w:hAnsi="仿宋" w:eastAsia="仿宋" w:cs="仿宋"/>
                <w:vertAlign w:val="subscript"/>
              </w:rPr>
              <w:t>CH4</w:t>
            </w:r>
            <w:r>
              <w:rPr>
                <w:rFonts w:hint="eastAsia" w:ascii="仿宋" w:hAnsi="仿宋" w:eastAsia="仿宋" w:cs="仿宋"/>
                <w:szCs w:val="28"/>
                <w:vertAlign w:val="subscript"/>
              </w:rPr>
              <w:t>回收</w:t>
            </w:r>
          </w:p>
        </w:tc>
        <w:tc>
          <w:tcPr>
            <w:tcW w:w="6663" w:type="dxa"/>
          </w:tcPr>
          <w:p w14:paraId="7C498FCC">
            <w:pPr>
              <w:ind w:firstLine="0" w:firstLineChars="0"/>
              <w:rPr>
                <w:rFonts w:hint="eastAsia" w:ascii="仿宋" w:hAnsi="仿宋" w:eastAsia="仿宋" w:cs="仿宋"/>
                <w:szCs w:val="28"/>
              </w:rPr>
            </w:pPr>
            <w:r>
              <w:rPr>
                <w:rFonts w:hint="eastAsia" w:ascii="仿宋" w:hAnsi="仿宋" w:eastAsia="仿宋" w:cs="仿宋"/>
                <w:szCs w:val="28"/>
              </w:rPr>
              <w:t>CH</w:t>
            </w:r>
            <w:r>
              <w:rPr>
                <w:rFonts w:hint="eastAsia" w:ascii="仿宋" w:hAnsi="仿宋" w:eastAsia="仿宋" w:cs="仿宋"/>
                <w:szCs w:val="28"/>
                <w:vertAlign w:val="subscript"/>
              </w:rPr>
              <w:t>4</w:t>
            </w:r>
            <w:r>
              <w:rPr>
                <w:rFonts w:hint="eastAsia" w:ascii="仿宋" w:hAnsi="仿宋" w:eastAsia="仿宋" w:cs="仿宋"/>
                <w:szCs w:val="28"/>
              </w:rPr>
              <w:t>回收与销毁量，单位为tCH</w:t>
            </w:r>
            <w:r>
              <w:rPr>
                <w:rFonts w:hint="eastAsia" w:ascii="仿宋" w:hAnsi="仿宋" w:eastAsia="仿宋" w:cs="仿宋"/>
                <w:szCs w:val="28"/>
                <w:vertAlign w:val="subscript"/>
              </w:rPr>
              <w:t>4</w:t>
            </w:r>
          </w:p>
        </w:tc>
      </w:tr>
      <w:tr w14:paraId="066F633C">
        <w:tblPrEx>
          <w:tblCellMar>
            <w:top w:w="0" w:type="dxa"/>
            <w:left w:w="108" w:type="dxa"/>
            <w:bottom w:w="0" w:type="dxa"/>
            <w:right w:w="108" w:type="dxa"/>
          </w:tblCellMar>
        </w:tblPrEx>
        <w:tc>
          <w:tcPr>
            <w:tcW w:w="1809" w:type="dxa"/>
          </w:tcPr>
          <w:p w14:paraId="06F46F4E">
            <w:pPr>
              <w:rPr>
                <w:rFonts w:hint="eastAsia" w:ascii="仿宋" w:hAnsi="仿宋" w:eastAsia="仿宋" w:cs="仿宋"/>
                <w:szCs w:val="28"/>
              </w:rPr>
            </w:pPr>
            <w:r>
              <w:rPr>
                <w:rFonts w:hint="eastAsia" w:ascii="仿宋" w:hAnsi="仿宋" w:eastAsia="仿宋" w:cs="仿宋"/>
                <w:szCs w:val="28"/>
              </w:rPr>
              <w:t>GWP</w:t>
            </w:r>
            <w:r>
              <w:rPr>
                <w:rFonts w:hint="eastAsia" w:ascii="仿宋" w:hAnsi="仿宋" w:eastAsia="仿宋" w:cs="仿宋"/>
                <w:vertAlign w:val="subscript"/>
              </w:rPr>
              <w:t>CH4</w:t>
            </w:r>
          </w:p>
        </w:tc>
        <w:tc>
          <w:tcPr>
            <w:tcW w:w="6663" w:type="dxa"/>
          </w:tcPr>
          <w:p w14:paraId="0ECC889A">
            <w:pPr>
              <w:ind w:firstLine="0" w:firstLineChars="0"/>
              <w:rPr>
                <w:rFonts w:hint="eastAsia" w:ascii="仿宋" w:hAnsi="仿宋" w:eastAsia="仿宋" w:cs="仿宋"/>
                <w:szCs w:val="28"/>
              </w:rPr>
            </w:pPr>
            <w:r>
              <w:rPr>
                <w:rFonts w:hint="eastAsia" w:ascii="仿宋" w:hAnsi="仿宋" w:eastAsia="仿宋" w:cs="仿宋"/>
                <w:szCs w:val="28"/>
              </w:rPr>
              <w:t>CH</w:t>
            </w:r>
            <w:r>
              <w:rPr>
                <w:rFonts w:hint="eastAsia" w:ascii="仿宋" w:hAnsi="仿宋" w:eastAsia="仿宋" w:cs="仿宋"/>
                <w:szCs w:val="28"/>
                <w:vertAlign w:val="subscript"/>
              </w:rPr>
              <w:t>4</w:t>
            </w:r>
            <w:r>
              <w:rPr>
                <w:rFonts w:hint="eastAsia" w:ascii="仿宋" w:hAnsi="仿宋" w:eastAsia="仿宋" w:cs="仿宋"/>
                <w:szCs w:val="28"/>
              </w:rPr>
              <w:t>相比 CO</w:t>
            </w:r>
            <w:r>
              <w:rPr>
                <w:rFonts w:hint="eastAsia" w:ascii="仿宋" w:hAnsi="仿宋" w:eastAsia="仿宋" w:cs="仿宋"/>
                <w:szCs w:val="28"/>
                <w:vertAlign w:val="subscript"/>
              </w:rPr>
              <w:t>2</w:t>
            </w:r>
            <w:r>
              <w:rPr>
                <w:rFonts w:hint="eastAsia" w:ascii="仿宋" w:hAnsi="仿宋" w:eastAsia="仿宋" w:cs="仿宋"/>
                <w:szCs w:val="28"/>
              </w:rPr>
              <w:t>的全球变暖潜势（GWP）值</w:t>
            </w:r>
          </w:p>
        </w:tc>
      </w:tr>
      <w:tr w14:paraId="06218320">
        <w:tblPrEx>
          <w:tblCellMar>
            <w:top w:w="0" w:type="dxa"/>
            <w:left w:w="108" w:type="dxa"/>
            <w:bottom w:w="0" w:type="dxa"/>
            <w:right w:w="108" w:type="dxa"/>
          </w:tblCellMar>
        </w:tblPrEx>
        <w:tc>
          <w:tcPr>
            <w:tcW w:w="1809" w:type="dxa"/>
          </w:tcPr>
          <w:p w14:paraId="5CDB7C14">
            <w:pPr>
              <w:rPr>
                <w:rFonts w:hint="eastAsia" w:ascii="仿宋" w:hAnsi="仿宋" w:eastAsia="仿宋" w:cs="仿宋"/>
                <w:szCs w:val="28"/>
              </w:rPr>
            </w:pPr>
            <w:r>
              <w:rPr>
                <w:rFonts w:hint="eastAsia" w:ascii="仿宋" w:hAnsi="仿宋" w:eastAsia="仿宋" w:cs="仿宋"/>
                <w:szCs w:val="28"/>
              </w:rPr>
              <w:t>R</w:t>
            </w:r>
            <w:r>
              <w:rPr>
                <w:rFonts w:hint="eastAsia" w:ascii="仿宋" w:hAnsi="仿宋" w:eastAsia="仿宋" w:cs="仿宋"/>
                <w:szCs w:val="28"/>
                <w:vertAlign w:val="subscript"/>
              </w:rPr>
              <w:t>CO2回收</w:t>
            </w:r>
          </w:p>
        </w:tc>
        <w:tc>
          <w:tcPr>
            <w:tcW w:w="6663" w:type="dxa"/>
          </w:tcPr>
          <w:p w14:paraId="39925F4A">
            <w:pPr>
              <w:ind w:firstLine="0" w:firstLineChars="0"/>
              <w:rPr>
                <w:rFonts w:hint="eastAsia" w:ascii="仿宋" w:hAnsi="仿宋" w:eastAsia="仿宋" w:cs="仿宋"/>
                <w:szCs w:val="28"/>
              </w:rPr>
            </w:pPr>
            <w:r>
              <w:rPr>
                <w:rFonts w:hint="eastAsia" w:ascii="仿宋" w:hAnsi="仿宋" w:eastAsia="仿宋" w:cs="仿宋"/>
                <w:szCs w:val="28"/>
              </w:rPr>
              <w:t>CO</w:t>
            </w:r>
            <w:r>
              <w:rPr>
                <w:rFonts w:hint="eastAsia" w:ascii="仿宋" w:hAnsi="仿宋" w:eastAsia="仿宋" w:cs="仿宋"/>
                <w:szCs w:val="28"/>
                <w:vertAlign w:val="subscript"/>
              </w:rPr>
              <w:t>2</w:t>
            </w:r>
            <w:r>
              <w:rPr>
                <w:rFonts w:hint="eastAsia" w:ascii="仿宋" w:hAnsi="仿宋" w:eastAsia="仿宋" w:cs="仿宋"/>
                <w:szCs w:val="28"/>
              </w:rPr>
              <w:t>回收利用量，单位为</w:t>
            </w:r>
            <w:r>
              <w:rPr>
                <w:rFonts w:hint="eastAsia" w:ascii="仿宋" w:hAnsi="仿宋" w:eastAsia="仿宋" w:cs="仿宋"/>
              </w:rPr>
              <w:t>tCO</w:t>
            </w:r>
            <w:r>
              <w:rPr>
                <w:rFonts w:hint="eastAsia" w:ascii="仿宋" w:hAnsi="仿宋" w:eastAsia="仿宋" w:cs="仿宋"/>
                <w:vertAlign w:val="subscript"/>
              </w:rPr>
              <w:t>2</w:t>
            </w:r>
          </w:p>
        </w:tc>
      </w:tr>
      <w:tr w14:paraId="68D7E9A1">
        <w:tblPrEx>
          <w:tblCellMar>
            <w:top w:w="0" w:type="dxa"/>
            <w:left w:w="108" w:type="dxa"/>
            <w:bottom w:w="0" w:type="dxa"/>
            <w:right w:w="108" w:type="dxa"/>
          </w:tblCellMar>
        </w:tblPrEx>
        <w:tc>
          <w:tcPr>
            <w:tcW w:w="1809" w:type="dxa"/>
          </w:tcPr>
          <w:p w14:paraId="222A3090">
            <w:pPr>
              <w:rPr>
                <w:rFonts w:hint="eastAsia" w:ascii="仿宋" w:hAnsi="仿宋" w:eastAsia="仿宋" w:cs="仿宋"/>
              </w:rPr>
            </w:pPr>
            <w:r>
              <w:rPr>
                <w:rFonts w:hint="eastAsia" w:ascii="仿宋" w:hAnsi="仿宋" w:eastAsia="仿宋" w:cs="仿宋"/>
                <w:szCs w:val="28"/>
              </w:rPr>
              <w:t>E</w:t>
            </w:r>
            <w:r>
              <w:rPr>
                <w:rFonts w:hint="eastAsia" w:ascii="仿宋" w:hAnsi="仿宋" w:eastAsia="仿宋" w:cs="仿宋"/>
                <w:szCs w:val="28"/>
                <w:vertAlign w:val="subscript"/>
              </w:rPr>
              <w:t>CO2</w:t>
            </w:r>
            <w:r>
              <w:rPr>
                <w:rFonts w:hint="eastAsia" w:ascii="仿宋" w:hAnsi="仿宋" w:eastAsia="仿宋" w:cs="仿宋"/>
                <w:szCs w:val="28"/>
              </w:rPr>
              <w:t>_</w:t>
            </w:r>
            <w:r>
              <w:rPr>
                <w:rFonts w:hint="eastAsia" w:ascii="仿宋" w:hAnsi="仿宋" w:eastAsia="仿宋" w:cs="仿宋"/>
                <w:szCs w:val="28"/>
                <w:vertAlign w:val="subscript"/>
              </w:rPr>
              <w:t>热</w:t>
            </w:r>
          </w:p>
        </w:tc>
        <w:tc>
          <w:tcPr>
            <w:tcW w:w="6663" w:type="dxa"/>
          </w:tcPr>
          <w:p w14:paraId="20690046">
            <w:pPr>
              <w:ind w:firstLine="0" w:firstLineChars="0"/>
              <w:rPr>
                <w:rFonts w:hint="eastAsia" w:ascii="仿宋" w:hAnsi="仿宋" w:eastAsia="仿宋" w:cs="仿宋"/>
              </w:rPr>
            </w:pPr>
            <w:r>
              <w:rPr>
                <w:rFonts w:hint="eastAsia" w:ascii="仿宋" w:hAnsi="仿宋" w:eastAsia="仿宋" w:cs="仿宋"/>
                <w:szCs w:val="28"/>
              </w:rPr>
              <w:t>净购入热力隐含的二氧化碳排放量（tCO</w:t>
            </w:r>
            <w:r>
              <w:rPr>
                <w:rFonts w:hint="eastAsia" w:ascii="仿宋" w:hAnsi="仿宋" w:eastAsia="仿宋" w:cs="仿宋"/>
                <w:szCs w:val="28"/>
                <w:vertAlign w:val="subscript"/>
              </w:rPr>
              <w:t>2</w:t>
            </w:r>
            <w:r>
              <w:rPr>
                <w:rFonts w:hint="eastAsia" w:ascii="仿宋" w:hAnsi="仿宋" w:eastAsia="仿宋" w:cs="仿宋"/>
                <w:szCs w:val="28"/>
              </w:rPr>
              <w:t>）</w:t>
            </w:r>
          </w:p>
        </w:tc>
      </w:tr>
      <w:tr w14:paraId="1FDC77D5">
        <w:tblPrEx>
          <w:tblCellMar>
            <w:top w:w="0" w:type="dxa"/>
            <w:left w:w="108" w:type="dxa"/>
            <w:bottom w:w="0" w:type="dxa"/>
            <w:right w:w="108" w:type="dxa"/>
          </w:tblCellMar>
        </w:tblPrEx>
        <w:tc>
          <w:tcPr>
            <w:tcW w:w="1809" w:type="dxa"/>
          </w:tcPr>
          <w:p w14:paraId="25A8ABC0">
            <w:pPr>
              <w:rPr>
                <w:rFonts w:hint="eastAsia" w:ascii="仿宋" w:hAnsi="仿宋" w:eastAsia="仿宋" w:cs="仿宋"/>
                <w:szCs w:val="28"/>
              </w:rPr>
            </w:pPr>
            <w:r>
              <w:rPr>
                <w:rFonts w:hint="eastAsia" w:ascii="仿宋" w:hAnsi="仿宋" w:eastAsia="仿宋" w:cs="仿宋"/>
                <w:szCs w:val="28"/>
              </w:rPr>
              <w:t>E</w:t>
            </w:r>
            <w:r>
              <w:rPr>
                <w:rFonts w:hint="eastAsia" w:ascii="仿宋" w:hAnsi="仿宋" w:eastAsia="仿宋" w:cs="仿宋"/>
                <w:szCs w:val="28"/>
                <w:vertAlign w:val="subscript"/>
              </w:rPr>
              <w:t>CO2</w:t>
            </w:r>
            <w:r>
              <w:rPr>
                <w:rFonts w:hint="eastAsia" w:ascii="仿宋" w:hAnsi="仿宋" w:eastAsia="仿宋" w:cs="仿宋"/>
                <w:szCs w:val="28"/>
              </w:rPr>
              <w:t>_</w:t>
            </w:r>
            <w:r>
              <w:rPr>
                <w:rFonts w:hint="eastAsia" w:ascii="仿宋" w:hAnsi="仿宋" w:eastAsia="仿宋" w:cs="仿宋"/>
                <w:szCs w:val="28"/>
                <w:vertAlign w:val="subscript"/>
              </w:rPr>
              <w:t>电</w:t>
            </w:r>
          </w:p>
        </w:tc>
        <w:tc>
          <w:tcPr>
            <w:tcW w:w="6663" w:type="dxa"/>
          </w:tcPr>
          <w:p w14:paraId="11E081FE">
            <w:pPr>
              <w:ind w:firstLine="0" w:firstLineChars="0"/>
              <w:rPr>
                <w:rFonts w:hint="eastAsia" w:ascii="仿宋" w:hAnsi="仿宋" w:eastAsia="仿宋" w:cs="仿宋"/>
                <w:szCs w:val="28"/>
              </w:rPr>
            </w:pPr>
            <w:r>
              <w:rPr>
                <w:rFonts w:hint="eastAsia" w:ascii="仿宋" w:hAnsi="仿宋" w:eastAsia="仿宋" w:cs="仿宋"/>
                <w:szCs w:val="28"/>
              </w:rPr>
              <w:t>净购入电力隐含的二氧化碳排放量（tCO</w:t>
            </w:r>
            <w:r>
              <w:rPr>
                <w:rFonts w:hint="eastAsia" w:ascii="仿宋" w:hAnsi="仿宋" w:eastAsia="仿宋" w:cs="仿宋"/>
                <w:szCs w:val="28"/>
                <w:vertAlign w:val="subscript"/>
              </w:rPr>
              <w:t>2</w:t>
            </w:r>
            <w:r>
              <w:rPr>
                <w:rFonts w:hint="eastAsia" w:ascii="仿宋" w:hAnsi="仿宋" w:eastAsia="仿宋" w:cs="仿宋"/>
                <w:szCs w:val="28"/>
              </w:rPr>
              <w:t>）</w:t>
            </w:r>
          </w:p>
        </w:tc>
      </w:tr>
    </w:tbl>
    <w:p w14:paraId="335268D2">
      <w:pPr>
        <w:pStyle w:val="4"/>
        <w:spacing w:beforeLines="50" w:afterLines="50"/>
        <w:rPr>
          <w:rFonts w:hint="eastAsia" w:ascii="仿宋" w:hAnsi="仿宋" w:eastAsia="仿宋" w:cs="仿宋"/>
          <w:szCs w:val="28"/>
        </w:rPr>
      </w:pPr>
      <w:bookmarkStart w:id="246" w:name="_Toc25106"/>
      <w:bookmarkStart w:id="247" w:name="_Toc503272778"/>
      <w:bookmarkStart w:id="248" w:name="_Toc10049_WPSOffice_Level3"/>
      <w:bookmarkStart w:id="249" w:name="_Toc503300122"/>
      <w:bookmarkStart w:id="250" w:name="_Toc19192_WPSOffice_Level3"/>
      <w:bookmarkStart w:id="251" w:name="_Toc5817"/>
      <w:bookmarkStart w:id="252" w:name="_Toc11092"/>
      <w:bookmarkStart w:id="253" w:name="_Toc444197196"/>
      <w:bookmarkStart w:id="254" w:name="_Toc444196305"/>
      <w:bookmarkStart w:id="255" w:name="_Toc28578"/>
      <w:bookmarkStart w:id="256" w:name="_Toc1911"/>
      <w:r>
        <w:rPr>
          <w:rFonts w:hint="eastAsia" w:ascii="仿宋" w:hAnsi="仿宋" w:eastAsia="仿宋" w:cs="仿宋"/>
          <w:szCs w:val="28"/>
        </w:rPr>
        <w:t>3.3.1 化石燃料燃烧排放</w:t>
      </w:r>
      <w:bookmarkEnd w:id="246"/>
      <w:bookmarkEnd w:id="247"/>
      <w:bookmarkEnd w:id="248"/>
      <w:bookmarkEnd w:id="249"/>
      <w:bookmarkEnd w:id="250"/>
      <w:bookmarkEnd w:id="251"/>
      <w:bookmarkEnd w:id="252"/>
      <w:bookmarkEnd w:id="253"/>
      <w:bookmarkEnd w:id="254"/>
      <w:bookmarkEnd w:id="255"/>
      <w:bookmarkEnd w:id="256"/>
    </w:p>
    <w:p w14:paraId="45C18ABB">
      <w:pPr>
        <w:spacing w:before="120"/>
        <w:ind w:left="119" w:right="-1"/>
        <w:rPr>
          <w:rFonts w:hint="eastAsia" w:ascii="仿宋" w:hAnsi="仿宋" w:eastAsia="仿宋" w:cs="仿宋"/>
          <w:color w:val="000000"/>
          <w:lang w:val="en-CA"/>
        </w:rPr>
      </w:pPr>
      <w:r>
        <w:rPr>
          <w:rFonts w:hint="eastAsia" w:ascii="仿宋" w:hAnsi="仿宋" w:eastAsia="仿宋" w:cs="仿宋"/>
        </w:rPr>
        <w:t>受核查方化石燃料燃烧产生的CO</w:t>
      </w:r>
      <w:r>
        <w:rPr>
          <w:rFonts w:hint="eastAsia" w:ascii="仿宋" w:hAnsi="仿宋" w:eastAsia="仿宋" w:cs="仿宋"/>
          <w:vertAlign w:val="subscript"/>
        </w:rPr>
        <w:t>2</w:t>
      </w:r>
      <w:r>
        <w:rPr>
          <w:rFonts w:hint="eastAsia" w:ascii="仿宋" w:hAnsi="仿宋" w:eastAsia="仿宋" w:cs="仿宋"/>
        </w:rPr>
        <w:t>排放量主要基于分品种的燃料燃烧量、单位燃料的含碳量和碳氧化率计算得到，公式如下：</w:t>
      </w:r>
    </w:p>
    <w:p w14:paraId="5DB9B57C">
      <w:pPr>
        <w:spacing w:before="120"/>
        <w:ind w:left="119" w:right="-1"/>
        <w:rPr>
          <w:rFonts w:hint="eastAsia" w:ascii="仿宋" w:hAnsi="仿宋" w:eastAsia="仿宋" w:cs="仿宋"/>
          <w:color w:val="000000"/>
          <w:lang w:val="en-CA"/>
        </w:rPr>
      </w:pPr>
      <w:r>
        <w:rPr>
          <w:rFonts w:hint="eastAsia" w:ascii="仿宋" w:hAnsi="仿宋" w:eastAsia="仿宋" w:cs="仿宋"/>
          <w:snapToGrid/>
          <w:position w:val="-24"/>
        </w:rPr>
        <w:object>
          <v:shape id="_x0000_i1025" o:spt="75" type="#_x0000_t75" style="height:30.75pt;width:186pt;" o:ole="t" filled="f" o:preferrelative="t" stroked="f" coordsize="21600,21600">
            <v:path/>
            <v:fill on="f" focussize="0,0"/>
            <v:stroke on="f" joinstyle="miter"/>
            <v:imagedata r:id="rId28" o:title=""/>
            <o:lock v:ext="edit" aspectratio="t"/>
            <w10:wrap type="none"/>
            <w10:anchorlock/>
          </v:shape>
          <o:OLEObject Type="Embed" ProgID="Equation.3" ShapeID="_x0000_i1025" DrawAspect="Content" ObjectID="_1468075725" r:id="rId27">
            <o:LockedField>false</o:LockedField>
          </o:OLEObject>
        </w:object>
      </w:r>
      <w:r>
        <w:rPr>
          <w:rFonts w:hint="eastAsia" w:ascii="仿宋" w:hAnsi="仿宋" w:eastAsia="仿宋" w:cs="仿宋"/>
        </w:rPr>
        <w:t>―――――――――――公式2</w:t>
      </w:r>
    </w:p>
    <w:p w14:paraId="78F22C98">
      <w:pPr>
        <w:spacing w:before="120"/>
        <w:ind w:left="119" w:right="-1"/>
        <w:rPr>
          <w:rFonts w:hint="eastAsia" w:ascii="仿宋" w:hAnsi="仿宋" w:eastAsia="仿宋" w:cs="仿宋"/>
        </w:rPr>
      </w:pPr>
      <w:r>
        <w:rPr>
          <w:rFonts w:hint="eastAsia" w:ascii="仿宋" w:hAnsi="仿宋" w:eastAsia="仿宋" w:cs="仿宋"/>
          <w:color w:val="000000"/>
          <w:lang w:val="en-CA"/>
        </w:rPr>
        <w:t>式中，</w:t>
      </w:r>
    </w:p>
    <w:tbl>
      <w:tblPr>
        <w:tblStyle w:val="27"/>
        <w:tblW w:w="0" w:type="auto"/>
        <w:tblInd w:w="0" w:type="dxa"/>
        <w:tblLayout w:type="fixed"/>
        <w:tblCellMar>
          <w:top w:w="0" w:type="dxa"/>
          <w:left w:w="108" w:type="dxa"/>
          <w:bottom w:w="0" w:type="dxa"/>
          <w:right w:w="108" w:type="dxa"/>
        </w:tblCellMar>
      </w:tblPr>
      <w:tblGrid>
        <w:gridCol w:w="1809"/>
        <w:gridCol w:w="426"/>
        <w:gridCol w:w="6287"/>
      </w:tblGrid>
      <w:tr w14:paraId="299180F4">
        <w:tblPrEx>
          <w:tblCellMar>
            <w:top w:w="0" w:type="dxa"/>
            <w:left w:w="108" w:type="dxa"/>
            <w:bottom w:w="0" w:type="dxa"/>
            <w:right w:w="108" w:type="dxa"/>
          </w:tblCellMar>
        </w:tblPrEx>
        <w:tc>
          <w:tcPr>
            <w:tcW w:w="1809" w:type="dxa"/>
          </w:tcPr>
          <w:p w14:paraId="374EB2BD">
            <w:pPr>
              <w:jc w:val="center"/>
              <w:rPr>
                <w:rFonts w:hint="eastAsia" w:ascii="仿宋" w:hAnsi="仿宋" w:eastAsia="仿宋" w:cs="仿宋"/>
                <w:i/>
              </w:rPr>
            </w:pPr>
            <w:r>
              <w:rPr>
                <w:rFonts w:hint="eastAsia" w:ascii="仿宋" w:hAnsi="仿宋" w:eastAsia="仿宋" w:cs="仿宋"/>
                <w:snapToGrid/>
                <w:position w:val="-16"/>
              </w:rPr>
              <w:object>
                <v:shape id="_x0000_i1026" o:spt="75" type="#_x0000_t75" style="height:20.25pt;width:45pt;" o:ole="t" filled="f" o:preferrelative="t" stroked="f" coordsize="21600,21600">
                  <v:path/>
                  <v:fill on="f" focussize="0,0"/>
                  <v:stroke on="f" joinstyle="miter"/>
                  <v:imagedata r:id="rId30" o:title=""/>
                  <o:lock v:ext="edit" aspectratio="t"/>
                  <w10:wrap type="none"/>
                  <w10:anchorlock/>
                </v:shape>
                <o:OLEObject Type="Embed" ProgID="Equation.3" ShapeID="_x0000_i1026" DrawAspect="Content" ObjectID="_1468075726" r:id="rId29">
                  <o:LockedField>false</o:LockedField>
                </o:OLEObject>
              </w:object>
            </w:r>
          </w:p>
        </w:tc>
        <w:tc>
          <w:tcPr>
            <w:tcW w:w="426" w:type="dxa"/>
          </w:tcPr>
          <w:p w14:paraId="75D75A0C">
            <w:pPr>
              <w:ind w:firstLine="0" w:firstLineChars="0"/>
              <w:jc w:val="center"/>
              <w:rPr>
                <w:rFonts w:hint="eastAsia" w:ascii="仿宋" w:hAnsi="仿宋" w:eastAsia="仿宋" w:cs="仿宋"/>
              </w:rPr>
            </w:pPr>
            <w:r>
              <w:rPr>
                <w:rFonts w:hint="eastAsia" w:ascii="仿宋" w:hAnsi="仿宋" w:eastAsia="仿宋" w:cs="仿宋"/>
              </w:rPr>
              <w:t>—</w:t>
            </w:r>
          </w:p>
        </w:tc>
        <w:tc>
          <w:tcPr>
            <w:tcW w:w="6287" w:type="dxa"/>
          </w:tcPr>
          <w:p w14:paraId="5C118191">
            <w:pPr>
              <w:ind w:firstLine="0" w:firstLineChars="0"/>
              <w:rPr>
                <w:rFonts w:hint="eastAsia" w:ascii="仿宋" w:hAnsi="仿宋" w:eastAsia="仿宋" w:cs="仿宋"/>
              </w:rPr>
            </w:pPr>
            <w:r>
              <w:rPr>
                <w:rFonts w:hint="eastAsia" w:ascii="仿宋" w:hAnsi="仿宋" w:eastAsia="仿宋" w:cs="仿宋"/>
              </w:rPr>
              <w:t>报告主体化石燃料燃烧的CO</w:t>
            </w:r>
            <w:r>
              <w:rPr>
                <w:rFonts w:hint="eastAsia" w:ascii="仿宋" w:hAnsi="仿宋" w:eastAsia="仿宋" w:cs="仿宋"/>
                <w:vertAlign w:val="subscript"/>
              </w:rPr>
              <w:t>2</w:t>
            </w:r>
            <w:r>
              <w:rPr>
                <w:rFonts w:hint="eastAsia" w:ascii="仿宋" w:hAnsi="仿宋" w:eastAsia="仿宋" w:cs="仿宋"/>
              </w:rPr>
              <w:t>排放量，单位为吨</w:t>
            </w:r>
          </w:p>
        </w:tc>
      </w:tr>
      <w:tr w14:paraId="3B794EFB">
        <w:tblPrEx>
          <w:tblCellMar>
            <w:top w:w="0" w:type="dxa"/>
            <w:left w:w="108" w:type="dxa"/>
            <w:bottom w:w="0" w:type="dxa"/>
            <w:right w:w="108" w:type="dxa"/>
          </w:tblCellMar>
        </w:tblPrEx>
        <w:tc>
          <w:tcPr>
            <w:tcW w:w="1809" w:type="dxa"/>
          </w:tcPr>
          <w:p w14:paraId="423128A3">
            <w:pPr>
              <w:jc w:val="center"/>
              <w:rPr>
                <w:rFonts w:hint="eastAsia" w:ascii="仿宋" w:hAnsi="仿宋" w:eastAsia="仿宋" w:cs="仿宋"/>
                <w:i/>
              </w:rPr>
            </w:pPr>
            <w:r>
              <w:rPr>
                <w:rFonts w:hint="eastAsia" w:ascii="仿宋" w:hAnsi="仿宋" w:eastAsia="仿宋" w:cs="仿宋"/>
                <w:snapToGrid/>
                <w:position w:val="-4"/>
              </w:rPr>
              <w:object>
                <v:shape id="_x0000_i1027" o:spt="75" type="#_x0000_t75" style="height:12.75pt;width:6.75pt;" o:ole="t" filled="f" o:preferrelative="t" stroked="f" coordsize="21600,21600">
                  <v:path/>
                  <v:fill on="f" focussize="0,0"/>
                  <v:stroke on="f" joinstyle="miter"/>
                  <v:imagedata r:id="rId32" o:title=""/>
                  <o:lock v:ext="edit" aspectratio="t"/>
                  <w10:wrap type="none"/>
                  <w10:anchorlock/>
                </v:shape>
                <o:OLEObject Type="Embed" ProgID="Equation.3" ShapeID="_x0000_i1027" DrawAspect="Content" ObjectID="_1468075727" r:id="rId31">
                  <o:LockedField>false</o:LockedField>
                </o:OLEObject>
              </w:object>
            </w:r>
          </w:p>
        </w:tc>
        <w:tc>
          <w:tcPr>
            <w:tcW w:w="426" w:type="dxa"/>
          </w:tcPr>
          <w:p w14:paraId="2539DD5E">
            <w:pPr>
              <w:ind w:firstLine="0" w:firstLineChars="0"/>
              <w:jc w:val="center"/>
              <w:rPr>
                <w:rFonts w:hint="eastAsia" w:ascii="仿宋" w:hAnsi="仿宋" w:eastAsia="仿宋" w:cs="仿宋"/>
              </w:rPr>
            </w:pPr>
            <w:r>
              <w:rPr>
                <w:rFonts w:hint="eastAsia" w:ascii="仿宋" w:hAnsi="仿宋" w:eastAsia="仿宋" w:cs="仿宋"/>
              </w:rPr>
              <w:t>—</w:t>
            </w:r>
          </w:p>
        </w:tc>
        <w:tc>
          <w:tcPr>
            <w:tcW w:w="6287" w:type="dxa"/>
          </w:tcPr>
          <w:p w14:paraId="40F50D01">
            <w:pPr>
              <w:ind w:firstLine="0" w:firstLineChars="0"/>
              <w:rPr>
                <w:rFonts w:hint="eastAsia" w:ascii="仿宋" w:hAnsi="仿宋" w:eastAsia="仿宋" w:cs="仿宋"/>
              </w:rPr>
            </w:pPr>
            <w:r>
              <w:rPr>
                <w:rFonts w:hint="eastAsia" w:ascii="仿宋" w:hAnsi="仿宋" w:eastAsia="仿宋" w:cs="仿宋"/>
              </w:rPr>
              <w:t>化石燃料的种类</w:t>
            </w:r>
          </w:p>
        </w:tc>
      </w:tr>
      <w:tr w14:paraId="55AABDFA">
        <w:tblPrEx>
          <w:tblCellMar>
            <w:top w:w="0" w:type="dxa"/>
            <w:left w:w="108" w:type="dxa"/>
            <w:bottom w:w="0" w:type="dxa"/>
            <w:right w:w="108" w:type="dxa"/>
          </w:tblCellMar>
        </w:tblPrEx>
        <w:tc>
          <w:tcPr>
            <w:tcW w:w="1809" w:type="dxa"/>
          </w:tcPr>
          <w:p w14:paraId="2C3CA1D8">
            <w:pPr>
              <w:jc w:val="center"/>
              <w:rPr>
                <w:rFonts w:hint="eastAsia" w:ascii="仿宋" w:hAnsi="仿宋" w:eastAsia="仿宋" w:cs="仿宋"/>
                <w:i/>
              </w:rPr>
            </w:pPr>
            <w:r>
              <w:rPr>
                <w:rFonts w:hint="eastAsia" w:ascii="仿宋" w:hAnsi="仿宋" w:eastAsia="仿宋" w:cs="仿宋"/>
                <w:snapToGrid/>
                <w:position w:val="-10"/>
              </w:rPr>
              <w:object>
                <v:shape id="_x0000_i1028" o:spt="75" type="#_x0000_t75" style="height:18pt;width:21.75pt;" o:ole="t" filled="f" o:preferrelative="t" stroked="f" coordsize="21600,21600">
                  <v:path/>
                  <v:fill on="f" focussize="0,0"/>
                  <v:stroke on="f" joinstyle="miter"/>
                  <v:imagedata r:id="rId34" o:title=""/>
                  <o:lock v:ext="edit" aspectratio="t"/>
                  <w10:wrap type="none"/>
                  <w10:anchorlock/>
                </v:shape>
                <o:OLEObject Type="Embed" ProgID="Equation.3" ShapeID="_x0000_i1028" DrawAspect="Content" ObjectID="_1468075728" r:id="rId33">
                  <o:LockedField>false</o:LockedField>
                </o:OLEObject>
              </w:object>
            </w:r>
          </w:p>
        </w:tc>
        <w:tc>
          <w:tcPr>
            <w:tcW w:w="426" w:type="dxa"/>
          </w:tcPr>
          <w:p w14:paraId="63D02030">
            <w:pPr>
              <w:ind w:firstLine="0" w:firstLineChars="0"/>
              <w:jc w:val="center"/>
              <w:rPr>
                <w:rFonts w:hint="eastAsia" w:ascii="仿宋" w:hAnsi="仿宋" w:eastAsia="仿宋" w:cs="仿宋"/>
              </w:rPr>
            </w:pPr>
            <w:r>
              <w:rPr>
                <w:rFonts w:hint="eastAsia" w:ascii="仿宋" w:hAnsi="仿宋" w:eastAsia="仿宋" w:cs="仿宋"/>
              </w:rPr>
              <w:t>—</w:t>
            </w:r>
          </w:p>
        </w:tc>
        <w:tc>
          <w:tcPr>
            <w:tcW w:w="6287" w:type="dxa"/>
          </w:tcPr>
          <w:p w14:paraId="5CB213E9">
            <w:pPr>
              <w:ind w:firstLine="0" w:firstLineChars="0"/>
              <w:rPr>
                <w:rFonts w:hint="eastAsia" w:ascii="仿宋" w:hAnsi="仿宋" w:eastAsia="仿宋" w:cs="仿宋"/>
              </w:rPr>
            </w:pPr>
            <w:r>
              <w:rPr>
                <w:rFonts w:hint="eastAsia" w:ascii="仿宋" w:hAnsi="仿宋" w:eastAsia="仿宋" w:cs="仿宋"/>
              </w:rPr>
              <w:t>化石燃料品种i明确用作燃料燃烧的消费量，对固体或液体燃料以吨为单位，对气体燃料以万Nm</w:t>
            </w:r>
            <w:r>
              <w:rPr>
                <w:rFonts w:hint="eastAsia" w:ascii="仿宋" w:hAnsi="仿宋" w:eastAsia="仿宋" w:cs="仿宋"/>
                <w:vertAlign w:val="superscript"/>
              </w:rPr>
              <w:t>3</w:t>
            </w:r>
            <w:r>
              <w:rPr>
                <w:rFonts w:hint="eastAsia" w:ascii="仿宋" w:hAnsi="仿宋" w:eastAsia="仿宋" w:cs="仿宋"/>
              </w:rPr>
              <w:t>为单位；</w:t>
            </w:r>
          </w:p>
        </w:tc>
      </w:tr>
      <w:tr w14:paraId="3737F41C">
        <w:tblPrEx>
          <w:tblCellMar>
            <w:top w:w="0" w:type="dxa"/>
            <w:left w:w="108" w:type="dxa"/>
            <w:bottom w:w="0" w:type="dxa"/>
            <w:right w:w="108" w:type="dxa"/>
          </w:tblCellMar>
        </w:tblPrEx>
        <w:tc>
          <w:tcPr>
            <w:tcW w:w="1809" w:type="dxa"/>
          </w:tcPr>
          <w:p w14:paraId="6D078B3E">
            <w:pPr>
              <w:jc w:val="center"/>
              <w:rPr>
                <w:rFonts w:hint="eastAsia" w:ascii="仿宋" w:hAnsi="仿宋" w:eastAsia="仿宋" w:cs="仿宋"/>
                <w:i/>
              </w:rPr>
            </w:pPr>
            <w:r>
              <w:rPr>
                <w:rFonts w:hint="eastAsia" w:ascii="仿宋" w:hAnsi="仿宋" w:eastAsia="仿宋" w:cs="仿宋"/>
                <w:snapToGrid/>
                <w:position w:val="-10"/>
              </w:rPr>
              <w:object>
                <v:shape id="_x0000_i1029" o:spt="75" type="#_x0000_t75" style="height:18pt;width:21.75pt;" o:ole="t" filled="f" o:preferrelative="t" stroked="f" coordsize="21600,21600">
                  <v:path/>
                  <v:fill on="f" focussize="0,0"/>
                  <v:stroke on="f" joinstyle="miter"/>
                  <v:imagedata r:id="rId36" o:title=""/>
                  <o:lock v:ext="edit" aspectratio="t"/>
                  <w10:wrap type="none"/>
                  <w10:anchorlock/>
                </v:shape>
                <o:OLEObject Type="Embed" ProgID="Equation.3" ShapeID="_x0000_i1029" DrawAspect="Content" ObjectID="_1468075729" r:id="rId35">
                  <o:LockedField>false</o:LockedField>
                </o:OLEObject>
              </w:object>
            </w:r>
          </w:p>
        </w:tc>
        <w:tc>
          <w:tcPr>
            <w:tcW w:w="426" w:type="dxa"/>
          </w:tcPr>
          <w:p w14:paraId="3B24534C">
            <w:pPr>
              <w:ind w:firstLine="0" w:firstLineChars="0"/>
              <w:jc w:val="center"/>
              <w:rPr>
                <w:rFonts w:hint="eastAsia" w:ascii="仿宋" w:hAnsi="仿宋" w:eastAsia="仿宋" w:cs="仿宋"/>
              </w:rPr>
            </w:pPr>
            <w:r>
              <w:rPr>
                <w:rFonts w:hint="eastAsia" w:ascii="仿宋" w:hAnsi="仿宋" w:eastAsia="仿宋" w:cs="仿宋"/>
              </w:rPr>
              <w:t>—</w:t>
            </w:r>
          </w:p>
        </w:tc>
        <w:tc>
          <w:tcPr>
            <w:tcW w:w="6287" w:type="dxa"/>
          </w:tcPr>
          <w:p w14:paraId="7E0FA665">
            <w:pPr>
              <w:ind w:firstLine="0" w:firstLineChars="0"/>
              <w:rPr>
                <w:rFonts w:hint="eastAsia" w:ascii="仿宋" w:hAnsi="仿宋" w:eastAsia="仿宋" w:cs="仿宋"/>
              </w:rPr>
            </w:pPr>
            <w:r>
              <w:rPr>
                <w:rFonts w:hint="eastAsia" w:ascii="仿宋" w:hAnsi="仿宋" w:eastAsia="仿宋" w:cs="仿宋"/>
              </w:rPr>
              <w:t>化石燃料i的碳氧化率，取值范围为0～1。</w:t>
            </w:r>
          </w:p>
        </w:tc>
      </w:tr>
    </w:tbl>
    <w:p w14:paraId="7984BF3E">
      <w:pPr>
        <w:pStyle w:val="4"/>
        <w:spacing w:beforeLines="50" w:afterLines="50"/>
        <w:rPr>
          <w:rFonts w:hint="eastAsia" w:ascii="仿宋" w:hAnsi="仿宋" w:eastAsia="仿宋" w:cs="仿宋"/>
          <w:szCs w:val="28"/>
        </w:rPr>
      </w:pPr>
      <w:bookmarkStart w:id="257" w:name="_Toc31420"/>
      <w:bookmarkStart w:id="258" w:name="_Toc503300123"/>
      <w:bookmarkStart w:id="259" w:name="_Toc6391"/>
      <w:bookmarkStart w:id="260" w:name="_Toc22236"/>
      <w:bookmarkStart w:id="261" w:name="_Toc14910_WPSOffice_Level3"/>
      <w:bookmarkStart w:id="262" w:name="_Toc5556_WPSOffice_Level3"/>
      <w:bookmarkStart w:id="263" w:name="_Toc22130"/>
      <w:bookmarkStart w:id="264" w:name="_Toc503272779"/>
      <w:bookmarkStart w:id="265" w:name="_Toc26786"/>
      <w:r>
        <w:rPr>
          <w:rFonts w:hint="eastAsia" w:ascii="仿宋" w:hAnsi="仿宋" w:eastAsia="仿宋" w:cs="仿宋"/>
          <w:szCs w:val="28"/>
        </w:rPr>
        <w:t>3.3.2 碳酸盐使用过程CO</w:t>
      </w:r>
      <w:r>
        <w:rPr>
          <w:rFonts w:hint="eastAsia" w:ascii="仿宋" w:hAnsi="仿宋" w:eastAsia="仿宋" w:cs="仿宋"/>
          <w:szCs w:val="28"/>
          <w:vertAlign w:val="subscript"/>
        </w:rPr>
        <w:t>2</w:t>
      </w:r>
      <w:r>
        <w:rPr>
          <w:rFonts w:hint="eastAsia" w:ascii="仿宋" w:hAnsi="仿宋" w:eastAsia="仿宋" w:cs="仿宋"/>
          <w:szCs w:val="28"/>
        </w:rPr>
        <w:t>排放</w:t>
      </w:r>
      <w:bookmarkEnd w:id="257"/>
      <w:bookmarkEnd w:id="258"/>
      <w:bookmarkEnd w:id="259"/>
      <w:bookmarkEnd w:id="260"/>
      <w:bookmarkEnd w:id="261"/>
      <w:bookmarkEnd w:id="262"/>
      <w:bookmarkEnd w:id="263"/>
      <w:bookmarkEnd w:id="264"/>
      <w:bookmarkEnd w:id="265"/>
    </w:p>
    <w:p w14:paraId="7E27449F">
      <w:pPr>
        <w:rPr>
          <w:rFonts w:hint="eastAsia" w:ascii="仿宋" w:hAnsi="仿宋" w:eastAsia="仿宋" w:cs="仿宋"/>
          <w:szCs w:val="28"/>
        </w:rPr>
      </w:pPr>
      <w:r>
        <w:rPr>
          <w:rFonts w:hint="eastAsia" w:ascii="仿宋" w:hAnsi="仿宋" w:eastAsia="仿宋" w:cs="仿宋"/>
          <w:szCs w:val="28"/>
        </w:rPr>
        <w:t>受核查方碳酸盐使用过程产生的二氧化碳排放，通过碳酸盐的消耗量和排放因子得出。</w:t>
      </w:r>
      <w:r>
        <w:rPr>
          <w:rFonts w:hint="eastAsia" w:ascii="仿宋" w:hAnsi="仿宋" w:eastAsia="仿宋" w:cs="仿宋"/>
        </w:rPr>
        <w:t>按公式5计算：</w:t>
      </w:r>
    </w:p>
    <w:p w14:paraId="68B56D19">
      <w:pPr>
        <w:jc w:val="center"/>
        <w:rPr>
          <w:rFonts w:hint="eastAsia" w:ascii="仿宋" w:hAnsi="仿宋" w:eastAsia="仿宋" w:cs="仿宋"/>
        </w:rPr>
      </w:pPr>
      <w:r>
        <w:rPr>
          <w:rFonts w:hint="eastAsia" w:ascii="仿宋" w:hAnsi="仿宋" w:eastAsia="仿宋" w:cs="仿宋"/>
          <w:snapToGrid/>
          <w:position w:val="-28"/>
          <w:vertAlign w:val="subscript"/>
        </w:rPr>
        <w:object>
          <v:shape id="_x0000_i1030" o:spt="75" type="#_x0000_t75" style="height:31.5pt;width:184.5pt;" o:ole="t" filled="f" o:preferrelative="t" stroked="f" coordsize="21600,21600">
            <v:path/>
            <v:fill on="f" focussize="0,0"/>
            <v:stroke on="f" joinstyle="miter"/>
            <v:imagedata r:id="rId38" o:title=""/>
            <o:lock v:ext="edit" aspectratio="t"/>
            <w10:wrap type="none"/>
            <w10:anchorlock/>
          </v:shape>
          <o:OLEObject Type="Embed" ProgID="Equation.3" ShapeID="_x0000_i1030" DrawAspect="Content" ObjectID="_1468075730" r:id="rId37">
            <o:LockedField>false</o:LockedField>
          </o:OLEObject>
        </w:object>
      </w:r>
      <w:r>
        <w:rPr>
          <w:rFonts w:hint="eastAsia" w:ascii="仿宋" w:hAnsi="仿宋" w:eastAsia="仿宋" w:cs="仿宋"/>
        </w:rPr>
        <w:t>――――――――――公式3</w:t>
      </w:r>
    </w:p>
    <w:p w14:paraId="2A7984B1">
      <w:pPr>
        <w:rPr>
          <w:rFonts w:hint="eastAsia" w:ascii="仿宋" w:hAnsi="仿宋" w:eastAsia="仿宋" w:cs="仿宋"/>
        </w:rPr>
      </w:pPr>
      <w:r>
        <w:rPr>
          <w:rFonts w:hint="eastAsia" w:ascii="仿宋" w:hAnsi="仿宋" w:eastAsia="仿宋" w:cs="仿宋"/>
        </w:rPr>
        <w:t>式中，</w:t>
      </w:r>
    </w:p>
    <w:tbl>
      <w:tblPr>
        <w:tblStyle w:val="27"/>
        <w:tblW w:w="0" w:type="auto"/>
        <w:tblInd w:w="0" w:type="dxa"/>
        <w:tblLayout w:type="fixed"/>
        <w:tblCellMar>
          <w:top w:w="0" w:type="dxa"/>
          <w:left w:w="108" w:type="dxa"/>
          <w:bottom w:w="0" w:type="dxa"/>
          <w:right w:w="108" w:type="dxa"/>
        </w:tblCellMar>
      </w:tblPr>
      <w:tblGrid>
        <w:gridCol w:w="1526"/>
        <w:gridCol w:w="567"/>
        <w:gridCol w:w="6429"/>
      </w:tblGrid>
      <w:tr w14:paraId="0DBEC702">
        <w:tblPrEx>
          <w:tblCellMar>
            <w:top w:w="0" w:type="dxa"/>
            <w:left w:w="108" w:type="dxa"/>
            <w:bottom w:w="0" w:type="dxa"/>
            <w:right w:w="108" w:type="dxa"/>
          </w:tblCellMar>
        </w:tblPrEx>
        <w:tc>
          <w:tcPr>
            <w:tcW w:w="1526" w:type="dxa"/>
          </w:tcPr>
          <w:p w14:paraId="4B852F5D">
            <w:pPr>
              <w:jc w:val="center"/>
              <w:rPr>
                <w:rFonts w:hint="eastAsia" w:ascii="仿宋" w:hAnsi="仿宋" w:eastAsia="仿宋" w:cs="仿宋"/>
                <w:i/>
              </w:rPr>
            </w:pPr>
            <w:r>
              <w:rPr>
                <w:rFonts w:hint="eastAsia" w:ascii="仿宋" w:hAnsi="仿宋" w:eastAsia="仿宋" w:cs="仿宋"/>
                <w:i/>
              </w:rPr>
              <w:t>E</w:t>
            </w:r>
            <w:r>
              <w:rPr>
                <w:rFonts w:hint="eastAsia" w:ascii="仿宋" w:hAnsi="仿宋" w:eastAsia="仿宋" w:cs="仿宋"/>
                <w:i/>
                <w:vertAlign w:val="subscript"/>
              </w:rPr>
              <w:t>碳酸盐</w:t>
            </w:r>
          </w:p>
        </w:tc>
        <w:tc>
          <w:tcPr>
            <w:tcW w:w="567" w:type="dxa"/>
          </w:tcPr>
          <w:p w14:paraId="6FB4B7B9">
            <w:pPr>
              <w:ind w:firstLine="0" w:firstLineChars="0"/>
              <w:jc w:val="center"/>
              <w:rPr>
                <w:rFonts w:hint="eastAsia" w:ascii="仿宋" w:hAnsi="仿宋" w:eastAsia="仿宋" w:cs="仿宋"/>
              </w:rPr>
            </w:pPr>
            <w:r>
              <w:rPr>
                <w:rFonts w:hint="eastAsia" w:ascii="仿宋" w:hAnsi="仿宋" w:eastAsia="仿宋" w:cs="仿宋"/>
              </w:rPr>
              <w:t>—</w:t>
            </w:r>
          </w:p>
        </w:tc>
        <w:tc>
          <w:tcPr>
            <w:tcW w:w="6429" w:type="dxa"/>
          </w:tcPr>
          <w:p w14:paraId="24A86668">
            <w:pPr>
              <w:ind w:firstLine="0" w:firstLineChars="0"/>
              <w:rPr>
                <w:rFonts w:hint="eastAsia" w:ascii="仿宋" w:hAnsi="仿宋" w:eastAsia="仿宋" w:cs="仿宋"/>
              </w:rPr>
            </w:pPr>
            <w:r>
              <w:rPr>
                <w:rFonts w:hint="eastAsia" w:ascii="仿宋" w:hAnsi="仿宋" w:eastAsia="仿宋" w:cs="仿宋"/>
              </w:rPr>
              <w:t>碳酸盐使用过程的二氧化碳排放量（吨）</w:t>
            </w:r>
          </w:p>
        </w:tc>
      </w:tr>
      <w:tr w14:paraId="65C1FCCA">
        <w:tblPrEx>
          <w:tblCellMar>
            <w:top w:w="0" w:type="dxa"/>
            <w:left w:w="108" w:type="dxa"/>
            <w:bottom w:w="0" w:type="dxa"/>
            <w:right w:w="108" w:type="dxa"/>
          </w:tblCellMar>
        </w:tblPrEx>
        <w:tc>
          <w:tcPr>
            <w:tcW w:w="1526" w:type="dxa"/>
          </w:tcPr>
          <w:p w14:paraId="314DA017">
            <w:pPr>
              <w:jc w:val="center"/>
              <w:rPr>
                <w:rFonts w:hint="eastAsia" w:ascii="仿宋" w:hAnsi="仿宋" w:eastAsia="仿宋" w:cs="仿宋"/>
                <w:i/>
              </w:rPr>
            </w:pPr>
            <w:r>
              <w:rPr>
                <w:rFonts w:hint="eastAsia" w:ascii="仿宋" w:hAnsi="仿宋" w:eastAsia="仿宋" w:cs="仿宋"/>
                <w:i/>
              </w:rPr>
              <w:t>AD</w:t>
            </w:r>
            <w:r>
              <w:rPr>
                <w:rFonts w:hint="eastAsia" w:ascii="仿宋" w:hAnsi="仿宋" w:eastAsia="仿宋" w:cs="仿宋"/>
                <w:i/>
                <w:vertAlign w:val="subscript"/>
              </w:rPr>
              <w:t>i</w:t>
            </w:r>
          </w:p>
        </w:tc>
        <w:tc>
          <w:tcPr>
            <w:tcW w:w="567" w:type="dxa"/>
          </w:tcPr>
          <w:p w14:paraId="0F64079B">
            <w:pPr>
              <w:ind w:firstLine="0" w:firstLineChars="0"/>
              <w:jc w:val="center"/>
              <w:rPr>
                <w:rFonts w:hint="eastAsia" w:ascii="仿宋" w:hAnsi="仿宋" w:eastAsia="仿宋" w:cs="仿宋"/>
              </w:rPr>
            </w:pPr>
            <w:r>
              <w:rPr>
                <w:rFonts w:hint="eastAsia" w:ascii="仿宋" w:hAnsi="仿宋" w:eastAsia="仿宋" w:cs="仿宋"/>
              </w:rPr>
              <w:t>—</w:t>
            </w:r>
          </w:p>
        </w:tc>
        <w:tc>
          <w:tcPr>
            <w:tcW w:w="6429" w:type="dxa"/>
          </w:tcPr>
          <w:p w14:paraId="6B514753">
            <w:pPr>
              <w:ind w:firstLine="0" w:firstLineChars="0"/>
              <w:rPr>
                <w:rFonts w:hint="eastAsia" w:ascii="仿宋" w:hAnsi="仿宋" w:eastAsia="仿宋" w:cs="仿宋"/>
              </w:rPr>
            </w:pPr>
            <w:r>
              <w:rPr>
                <w:rFonts w:hint="eastAsia" w:ascii="仿宋" w:hAnsi="仿宋" w:eastAsia="仿宋" w:cs="仿宋"/>
              </w:rPr>
              <w:t>第i种碳酸盐消耗量（吨）</w:t>
            </w:r>
          </w:p>
        </w:tc>
      </w:tr>
      <w:tr w14:paraId="09C7E9C8">
        <w:tblPrEx>
          <w:tblCellMar>
            <w:top w:w="0" w:type="dxa"/>
            <w:left w:w="108" w:type="dxa"/>
            <w:bottom w:w="0" w:type="dxa"/>
            <w:right w:w="108" w:type="dxa"/>
          </w:tblCellMar>
        </w:tblPrEx>
        <w:tc>
          <w:tcPr>
            <w:tcW w:w="1526" w:type="dxa"/>
          </w:tcPr>
          <w:p w14:paraId="15E8D46A">
            <w:pPr>
              <w:jc w:val="center"/>
              <w:rPr>
                <w:rFonts w:hint="eastAsia" w:ascii="仿宋" w:hAnsi="仿宋" w:eastAsia="仿宋" w:cs="仿宋"/>
                <w:i/>
              </w:rPr>
            </w:pPr>
            <w:r>
              <w:rPr>
                <w:rFonts w:hint="eastAsia" w:ascii="仿宋" w:hAnsi="仿宋" w:eastAsia="仿宋" w:cs="仿宋"/>
                <w:i/>
              </w:rPr>
              <w:t>EF</w:t>
            </w:r>
            <w:r>
              <w:rPr>
                <w:rFonts w:hint="eastAsia" w:ascii="仿宋" w:hAnsi="仿宋" w:eastAsia="仿宋" w:cs="仿宋"/>
                <w:i/>
                <w:vertAlign w:val="subscript"/>
              </w:rPr>
              <w:t>i</w:t>
            </w:r>
          </w:p>
        </w:tc>
        <w:tc>
          <w:tcPr>
            <w:tcW w:w="567" w:type="dxa"/>
          </w:tcPr>
          <w:p w14:paraId="7817C81F">
            <w:pPr>
              <w:ind w:firstLine="0" w:firstLineChars="0"/>
              <w:jc w:val="center"/>
              <w:rPr>
                <w:rFonts w:hint="eastAsia" w:ascii="仿宋" w:hAnsi="仿宋" w:eastAsia="仿宋" w:cs="仿宋"/>
              </w:rPr>
            </w:pPr>
            <w:r>
              <w:rPr>
                <w:rFonts w:hint="eastAsia" w:ascii="仿宋" w:hAnsi="仿宋" w:eastAsia="仿宋" w:cs="仿宋"/>
              </w:rPr>
              <w:t>—</w:t>
            </w:r>
          </w:p>
        </w:tc>
        <w:tc>
          <w:tcPr>
            <w:tcW w:w="6429" w:type="dxa"/>
          </w:tcPr>
          <w:p w14:paraId="01BC82BB">
            <w:pPr>
              <w:ind w:firstLine="0" w:firstLineChars="0"/>
              <w:rPr>
                <w:rFonts w:hint="eastAsia" w:ascii="仿宋" w:hAnsi="仿宋" w:eastAsia="仿宋" w:cs="仿宋"/>
              </w:rPr>
            </w:pPr>
            <w:r>
              <w:rPr>
                <w:rFonts w:hint="eastAsia" w:ascii="仿宋" w:hAnsi="仿宋" w:eastAsia="仿宋" w:cs="仿宋"/>
              </w:rPr>
              <w:t>第i种碳酸盐的排放因子（吨二氧化碳/吨）</w:t>
            </w:r>
          </w:p>
        </w:tc>
      </w:tr>
      <w:tr w14:paraId="78D0D2B5">
        <w:tblPrEx>
          <w:tblCellMar>
            <w:top w:w="0" w:type="dxa"/>
            <w:left w:w="108" w:type="dxa"/>
            <w:bottom w:w="0" w:type="dxa"/>
            <w:right w:w="108" w:type="dxa"/>
          </w:tblCellMar>
        </w:tblPrEx>
        <w:tc>
          <w:tcPr>
            <w:tcW w:w="1526" w:type="dxa"/>
          </w:tcPr>
          <w:p w14:paraId="540B0263">
            <w:pPr>
              <w:jc w:val="center"/>
              <w:rPr>
                <w:rFonts w:hint="eastAsia" w:ascii="仿宋" w:hAnsi="仿宋" w:eastAsia="仿宋" w:cs="仿宋"/>
                <w:i/>
              </w:rPr>
            </w:pPr>
            <w:r>
              <w:rPr>
                <w:rFonts w:hint="eastAsia" w:ascii="仿宋" w:hAnsi="仿宋" w:eastAsia="仿宋" w:cs="仿宋"/>
                <w:i/>
              </w:rPr>
              <w:t>PUR</w:t>
            </w:r>
            <w:r>
              <w:rPr>
                <w:rFonts w:hint="eastAsia" w:ascii="仿宋" w:hAnsi="仿宋" w:eastAsia="仿宋" w:cs="仿宋"/>
                <w:i/>
                <w:vertAlign w:val="subscript"/>
              </w:rPr>
              <w:t>i</w:t>
            </w:r>
          </w:p>
        </w:tc>
        <w:tc>
          <w:tcPr>
            <w:tcW w:w="567" w:type="dxa"/>
          </w:tcPr>
          <w:p w14:paraId="2D7FBE5A">
            <w:pPr>
              <w:ind w:firstLine="0" w:firstLineChars="0"/>
              <w:jc w:val="center"/>
              <w:rPr>
                <w:rFonts w:hint="eastAsia" w:ascii="仿宋" w:hAnsi="仿宋" w:eastAsia="仿宋" w:cs="仿宋"/>
              </w:rPr>
            </w:pPr>
            <w:r>
              <w:rPr>
                <w:rFonts w:hint="eastAsia" w:ascii="仿宋" w:hAnsi="仿宋" w:eastAsia="仿宋" w:cs="仿宋"/>
              </w:rPr>
              <w:t>—</w:t>
            </w:r>
          </w:p>
        </w:tc>
        <w:tc>
          <w:tcPr>
            <w:tcW w:w="6429" w:type="dxa"/>
          </w:tcPr>
          <w:p w14:paraId="384B5CE3">
            <w:pPr>
              <w:ind w:firstLine="0" w:firstLineChars="0"/>
              <w:rPr>
                <w:rFonts w:hint="eastAsia" w:ascii="仿宋" w:hAnsi="仿宋" w:eastAsia="仿宋" w:cs="仿宋"/>
              </w:rPr>
            </w:pPr>
            <w:r>
              <w:rPr>
                <w:rFonts w:hint="eastAsia" w:ascii="仿宋" w:hAnsi="仿宋" w:eastAsia="仿宋" w:cs="仿宋"/>
              </w:rPr>
              <w:t>第i种碳酸盐的百分比纯度（%）</w:t>
            </w:r>
          </w:p>
        </w:tc>
      </w:tr>
      <w:tr w14:paraId="6360A8F7">
        <w:tblPrEx>
          <w:tblCellMar>
            <w:top w:w="0" w:type="dxa"/>
            <w:left w:w="108" w:type="dxa"/>
            <w:bottom w:w="0" w:type="dxa"/>
            <w:right w:w="108" w:type="dxa"/>
          </w:tblCellMar>
        </w:tblPrEx>
        <w:tc>
          <w:tcPr>
            <w:tcW w:w="1526" w:type="dxa"/>
          </w:tcPr>
          <w:p w14:paraId="266144D0">
            <w:pPr>
              <w:jc w:val="center"/>
              <w:rPr>
                <w:rFonts w:hint="eastAsia" w:ascii="仿宋" w:hAnsi="仿宋" w:eastAsia="仿宋" w:cs="仿宋"/>
                <w:i/>
              </w:rPr>
            </w:pPr>
            <w:r>
              <w:rPr>
                <w:rFonts w:hint="eastAsia" w:ascii="仿宋" w:hAnsi="仿宋" w:eastAsia="仿宋" w:cs="仿宋"/>
                <w:i/>
              </w:rPr>
              <w:t>i</w:t>
            </w:r>
          </w:p>
        </w:tc>
        <w:tc>
          <w:tcPr>
            <w:tcW w:w="567" w:type="dxa"/>
          </w:tcPr>
          <w:p w14:paraId="2C3878DE">
            <w:pPr>
              <w:ind w:firstLine="0" w:firstLineChars="0"/>
              <w:jc w:val="center"/>
              <w:rPr>
                <w:rFonts w:hint="eastAsia" w:ascii="仿宋" w:hAnsi="仿宋" w:eastAsia="仿宋" w:cs="仿宋"/>
              </w:rPr>
            </w:pPr>
            <w:r>
              <w:rPr>
                <w:rFonts w:hint="eastAsia" w:ascii="仿宋" w:hAnsi="仿宋" w:eastAsia="仿宋" w:cs="仿宋"/>
              </w:rPr>
              <w:t>—</w:t>
            </w:r>
          </w:p>
        </w:tc>
        <w:tc>
          <w:tcPr>
            <w:tcW w:w="6429" w:type="dxa"/>
          </w:tcPr>
          <w:p w14:paraId="14FEB851">
            <w:pPr>
              <w:ind w:firstLine="0" w:firstLineChars="0"/>
              <w:rPr>
                <w:rFonts w:hint="eastAsia" w:ascii="仿宋" w:hAnsi="仿宋" w:eastAsia="仿宋" w:cs="仿宋"/>
              </w:rPr>
            </w:pPr>
            <w:r>
              <w:rPr>
                <w:rFonts w:hint="eastAsia" w:ascii="仿宋" w:hAnsi="仿宋" w:eastAsia="仿宋" w:cs="仿宋"/>
              </w:rPr>
              <w:t>脱硫剂类型</w:t>
            </w:r>
          </w:p>
        </w:tc>
      </w:tr>
    </w:tbl>
    <w:p w14:paraId="2756E229">
      <w:pPr>
        <w:pStyle w:val="4"/>
        <w:spacing w:beforeLines="50" w:afterLines="50"/>
        <w:rPr>
          <w:rFonts w:hint="eastAsia" w:ascii="仿宋" w:hAnsi="仿宋" w:eastAsia="仿宋" w:cs="仿宋"/>
          <w:szCs w:val="28"/>
        </w:rPr>
      </w:pPr>
      <w:bookmarkStart w:id="266" w:name="_Toc14386"/>
      <w:bookmarkStart w:id="267" w:name="_Toc503272780"/>
      <w:bookmarkStart w:id="268" w:name="_Toc11591"/>
      <w:bookmarkStart w:id="269" w:name="_Toc503300124"/>
      <w:bookmarkStart w:id="270" w:name="_Toc5990"/>
      <w:bookmarkStart w:id="271" w:name="_Toc5824_WPSOffice_Level3"/>
      <w:bookmarkStart w:id="272" w:name="_Toc9563"/>
      <w:bookmarkStart w:id="273" w:name="_Toc31052_WPSOffice_Level3"/>
      <w:bookmarkStart w:id="274" w:name="_Toc23769"/>
      <w:r>
        <w:rPr>
          <w:rFonts w:hint="eastAsia" w:ascii="仿宋" w:hAnsi="仿宋" w:eastAsia="仿宋" w:cs="仿宋"/>
          <w:szCs w:val="28"/>
        </w:rPr>
        <w:t>3.3.3 工业废水厌氧处理CH</w:t>
      </w:r>
      <w:r>
        <w:rPr>
          <w:rFonts w:hint="eastAsia" w:ascii="仿宋" w:hAnsi="仿宋" w:eastAsia="仿宋" w:cs="仿宋"/>
          <w:szCs w:val="28"/>
          <w:vertAlign w:val="subscript"/>
        </w:rPr>
        <w:t>4</w:t>
      </w:r>
      <w:r>
        <w:rPr>
          <w:rFonts w:hint="eastAsia" w:ascii="仿宋" w:hAnsi="仿宋" w:eastAsia="仿宋" w:cs="仿宋"/>
          <w:szCs w:val="28"/>
        </w:rPr>
        <w:t>排放</w:t>
      </w:r>
      <w:bookmarkEnd w:id="266"/>
    </w:p>
    <w:p w14:paraId="3FF4A1F7">
      <w:pPr>
        <w:rPr>
          <w:rFonts w:hint="eastAsia" w:ascii="仿宋" w:hAnsi="仿宋" w:eastAsia="仿宋" w:cs="仿宋"/>
          <w:szCs w:val="28"/>
        </w:rPr>
      </w:pPr>
      <w:r>
        <w:rPr>
          <w:rFonts w:hint="eastAsia" w:ascii="仿宋" w:hAnsi="仿宋" w:eastAsia="仿宋" w:cs="仿宋"/>
          <w:szCs w:val="28"/>
        </w:rPr>
        <w:t>企业在生产过程中产生的工业废水经厌氧处理导致的甲烷排放量计算公式如下：</w:t>
      </w:r>
    </w:p>
    <w:p w14:paraId="1DBD91C1">
      <w:pPr>
        <w:rPr>
          <w:rFonts w:hint="eastAsia" w:ascii="仿宋" w:hAnsi="仿宋" w:eastAsia="仿宋" w:cs="仿宋"/>
        </w:rPr>
      </w:pPr>
      <w:r>
        <w:rPr>
          <w:rFonts w:hint="eastAsia" w:ascii="仿宋" w:hAnsi="仿宋" w:eastAsia="仿宋" w:cs="仿宋"/>
          <w:i/>
          <w:snapToGrid/>
          <w:position w:val="-16"/>
        </w:rPr>
        <w:object>
          <v:shape id="_x0000_i1031" o:spt="75" type="#_x0000_t75" style="height:28.5pt;width:226.5pt;" o:ole="t" filled="f" o:preferrelative="t" stroked="f" coordsize="21600,21600">
            <v:path/>
            <v:fill on="f" focussize="0,0"/>
            <v:stroke on="f" joinstyle="miter"/>
            <v:imagedata r:id="rId40" o:title=""/>
            <o:lock v:ext="edit" aspectratio="t"/>
            <w10:wrap type="none"/>
            <w10:anchorlock/>
          </v:shape>
          <o:OLEObject Type="Embed" ProgID="Equation.3" ShapeID="_x0000_i1031" DrawAspect="Content" ObjectID="_1468075731" r:id="rId39">
            <o:LockedField>false</o:LockedField>
          </o:OLEObject>
        </w:object>
      </w:r>
      <w:r>
        <w:rPr>
          <w:rFonts w:hint="eastAsia" w:ascii="仿宋" w:hAnsi="仿宋" w:eastAsia="仿宋" w:cs="仿宋"/>
        </w:rPr>
        <w:t>――――――――公式4</w:t>
      </w:r>
    </w:p>
    <w:p w14:paraId="46EB7475">
      <w:pPr>
        <w:rPr>
          <w:rFonts w:hint="eastAsia" w:ascii="仿宋" w:hAnsi="仿宋" w:eastAsia="仿宋" w:cs="仿宋"/>
          <w:szCs w:val="28"/>
        </w:rPr>
      </w:pPr>
      <w:r>
        <w:rPr>
          <w:rFonts w:hint="eastAsia" w:ascii="仿宋" w:hAnsi="仿宋" w:eastAsia="仿宋" w:cs="仿宋"/>
          <w:szCs w:val="28"/>
        </w:rPr>
        <w:t>式中：</w:t>
      </w:r>
    </w:p>
    <w:tbl>
      <w:tblPr>
        <w:tblStyle w:val="27"/>
        <w:tblW w:w="8021" w:type="dxa"/>
        <w:tblInd w:w="699" w:type="dxa"/>
        <w:tblLayout w:type="fixed"/>
        <w:tblCellMar>
          <w:top w:w="0" w:type="dxa"/>
          <w:left w:w="108" w:type="dxa"/>
          <w:bottom w:w="0" w:type="dxa"/>
          <w:right w:w="108" w:type="dxa"/>
        </w:tblCellMar>
      </w:tblPr>
      <w:tblGrid>
        <w:gridCol w:w="1252"/>
        <w:gridCol w:w="6769"/>
      </w:tblGrid>
      <w:tr w14:paraId="6287E091">
        <w:tblPrEx>
          <w:tblCellMar>
            <w:top w:w="0" w:type="dxa"/>
            <w:left w:w="108" w:type="dxa"/>
            <w:bottom w:w="0" w:type="dxa"/>
            <w:right w:w="108" w:type="dxa"/>
          </w:tblCellMar>
        </w:tblPrEx>
        <w:tc>
          <w:tcPr>
            <w:tcW w:w="1252" w:type="dxa"/>
          </w:tcPr>
          <w:p w14:paraId="3AC027E0">
            <w:pPr>
              <w:spacing w:line="240" w:lineRule="auto"/>
              <w:ind w:firstLine="0" w:firstLineChars="0"/>
              <w:jc w:val="left"/>
              <w:rPr>
                <w:rFonts w:hint="eastAsia" w:ascii="仿宋" w:hAnsi="仿宋" w:eastAsia="仿宋" w:cs="仿宋"/>
                <w:szCs w:val="28"/>
              </w:rPr>
            </w:pPr>
            <w:r>
              <w:rPr>
                <w:rFonts w:hint="eastAsia" w:ascii="仿宋" w:hAnsi="仿宋" w:eastAsia="仿宋" w:cs="仿宋"/>
                <w:szCs w:val="28"/>
              </w:rPr>
              <w:t>E</w:t>
            </w:r>
            <w:r>
              <w:rPr>
                <w:rFonts w:hint="eastAsia" w:ascii="仿宋" w:hAnsi="仿宋" w:eastAsia="仿宋" w:cs="仿宋"/>
                <w:szCs w:val="28"/>
                <w:vertAlign w:val="subscript"/>
              </w:rPr>
              <w:t>CH4_废水</w:t>
            </w:r>
          </w:p>
        </w:tc>
        <w:tc>
          <w:tcPr>
            <w:tcW w:w="6769" w:type="dxa"/>
          </w:tcPr>
          <w:p w14:paraId="2F3385F1">
            <w:pPr>
              <w:numPr>
                <w:ilvl w:val="0"/>
                <w:numId w:val="1"/>
              </w:numPr>
              <w:spacing w:line="240" w:lineRule="auto"/>
              <w:ind w:firstLineChars="0"/>
              <w:rPr>
                <w:rFonts w:hint="eastAsia" w:ascii="仿宋" w:hAnsi="仿宋" w:eastAsia="仿宋" w:cs="仿宋"/>
                <w:szCs w:val="28"/>
              </w:rPr>
            </w:pPr>
            <w:r>
              <w:rPr>
                <w:rFonts w:hint="eastAsia" w:ascii="仿宋" w:hAnsi="仿宋" w:eastAsia="仿宋" w:cs="仿宋"/>
              </w:rPr>
              <w:t>废水厌氧处理过程甲烷排放量（千克）；</w:t>
            </w:r>
          </w:p>
        </w:tc>
      </w:tr>
      <w:tr w14:paraId="0157215F">
        <w:tblPrEx>
          <w:tblCellMar>
            <w:top w:w="0" w:type="dxa"/>
            <w:left w:w="108" w:type="dxa"/>
            <w:bottom w:w="0" w:type="dxa"/>
            <w:right w:w="108" w:type="dxa"/>
          </w:tblCellMar>
        </w:tblPrEx>
        <w:tc>
          <w:tcPr>
            <w:tcW w:w="1252" w:type="dxa"/>
          </w:tcPr>
          <w:p w14:paraId="4FA4DA67">
            <w:pPr>
              <w:spacing w:line="240" w:lineRule="auto"/>
              <w:ind w:firstLine="0" w:firstLineChars="0"/>
              <w:jc w:val="left"/>
              <w:rPr>
                <w:rFonts w:hint="eastAsia" w:ascii="仿宋" w:hAnsi="仿宋" w:eastAsia="仿宋" w:cs="仿宋"/>
              </w:rPr>
            </w:pPr>
            <w:r>
              <w:rPr>
                <w:rFonts w:hint="eastAsia" w:ascii="仿宋" w:hAnsi="仿宋" w:eastAsia="仿宋" w:cs="仿宋"/>
              </w:rPr>
              <w:t>TOW</w:t>
            </w:r>
          </w:p>
        </w:tc>
        <w:tc>
          <w:tcPr>
            <w:tcW w:w="6769" w:type="dxa"/>
          </w:tcPr>
          <w:p w14:paraId="4B0C57A5">
            <w:pPr>
              <w:numPr>
                <w:ilvl w:val="0"/>
                <w:numId w:val="1"/>
              </w:numPr>
              <w:spacing w:line="240" w:lineRule="auto"/>
              <w:ind w:firstLineChars="0"/>
              <w:rPr>
                <w:rFonts w:hint="eastAsia" w:ascii="仿宋" w:hAnsi="仿宋" w:eastAsia="仿宋" w:cs="仿宋"/>
              </w:rPr>
            </w:pPr>
            <w:r>
              <w:rPr>
                <w:rFonts w:hint="eastAsia" w:ascii="仿宋" w:hAnsi="仿宋" w:eastAsia="仿宋" w:cs="仿宋"/>
              </w:rPr>
              <w:t>废水厌氧处理去除的有机物总量（千克COD）。</w:t>
            </w:r>
          </w:p>
        </w:tc>
      </w:tr>
      <w:tr w14:paraId="67424826">
        <w:tblPrEx>
          <w:tblCellMar>
            <w:top w:w="0" w:type="dxa"/>
            <w:left w:w="108" w:type="dxa"/>
            <w:bottom w:w="0" w:type="dxa"/>
            <w:right w:w="108" w:type="dxa"/>
          </w:tblCellMar>
        </w:tblPrEx>
        <w:tc>
          <w:tcPr>
            <w:tcW w:w="1252" w:type="dxa"/>
          </w:tcPr>
          <w:p w14:paraId="6BA194FD">
            <w:pPr>
              <w:spacing w:line="240" w:lineRule="auto"/>
              <w:ind w:firstLine="0" w:firstLineChars="0"/>
              <w:jc w:val="left"/>
              <w:rPr>
                <w:rFonts w:hint="eastAsia" w:ascii="仿宋" w:hAnsi="仿宋" w:eastAsia="仿宋" w:cs="仿宋"/>
              </w:rPr>
            </w:pPr>
            <w:r>
              <w:rPr>
                <w:rFonts w:hint="eastAsia" w:ascii="仿宋" w:hAnsi="仿宋" w:eastAsia="仿宋" w:cs="仿宋"/>
              </w:rPr>
              <w:t>S</w:t>
            </w:r>
          </w:p>
        </w:tc>
        <w:tc>
          <w:tcPr>
            <w:tcW w:w="6769" w:type="dxa"/>
          </w:tcPr>
          <w:p w14:paraId="771A069D">
            <w:pPr>
              <w:numPr>
                <w:ilvl w:val="0"/>
                <w:numId w:val="1"/>
              </w:numPr>
              <w:spacing w:line="240" w:lineRule="auto"/>
              <w:ind w:firstLineChars="0"/>
              <w:rPr>
                <w:rFonts w:hint="eastAsia" w:ascii="仿宋" w:hAnsi="仿宋" w:eastAsia="仿宋" w:cs="仿宋"/>
              </w:rPr>
            </w:pPr>
            <w:r>
              <w:rPr>
                <w:rFonts w:hint="eastAsia" w:ascii="仿宋" w:hAnsi="仿宋" w:eastAsia="仿宋" w:cs="仿宋"/>
              </w:rPr>
              <w:t>以污泥方式清除掉的有机物总量（千克COD）</w:t>
            </w:r>
          </w:p>
        </w:tc>
      </w:tr>
      <w:tr w14:paraId="161051B3">
        <w:tblPrEx>
          <w:tblCellMar>
            <w:top w:w="0" w:type="dxa"/>
            <w:left w:w="108" w:type="dxa"/>
            <w:bottom w:w="0" w:type="dxa"/>
            <w:right w:w="108" w:type="dxa"/>
          </w:tblCellMar>
        </w:tblPrEx>
        <w:tc>
          <w:tcPr>
            <w:tcW w:w="1252" w:type="dxa"/>
          </w:tcPr>
          <w:p w14:paraId="502EC423">
            <w:pPr>
              <w:spacing w:line="240" w:lineRule="auto"/>
              <w:ind w:firstLine="0" w:firstLineChars="0"/>
              <w:jc w:val="left"/>
              <w:rPr>
                <w:rFonts w:hint="eastAsia" w:ascii="仿宋" w:hAnsi="仿宋" w:eastAsia="仿宋" w:cs="仿宋"/>
              </w:rPr>
            </w:pPr>
            <w:r>
              <w:rPr>
                <w:rFonts w:hint="eastAsia" w:ascii="仿宋" w:hAnsi="仿宋" w:eastAsia="仿宋" w:cs="仿宋"/>
              </w:rPr>
              <w:t>EF</w:t>
            </w:r>
          </w:p>
        </w:tc>
        <w:tc>
          <w:tcPr>
            <w:tcW w:w="6769" w:type="dxa"/>
          </w:tcPr>
          <w:p w14:paraId="4027939D">
            <w:pPr>
              <w:numPr>
                <w:ilvl w:val="0"/>
                <w:numId w:val="1"/>
              </w:numPr>
              <w:spacing w:line="240" w:lineRule="auto"/>
              <w:ind w:firstLineChars="0"/>
              <w:rPr>
                <w:rFonts w:hint="eastAsia" w:ascii="仿宋" w:hAnsi="仿宋" w:eastAsia="仿宋" w:cs="仿宋"/>
              </w:rPr>
            </w:pPr>
            <w:r>
              <w:rPr>
                <w:rFonts w:hint="eastAsia" w:ascii="仿宋" w:hAnsi="仿宋" w:eastAsia="仿宋" w:cs="仿宋"/>
              </w:rPr>
              <w:t>甲烷排放因子（千克甲烷/千克COD）</w:t>
            </w:r>
          </w:p>
        </w:tc>
      </w:tr>
      <w:tr w14:paraId="4F6CE1DF">
        <w:tblPrEx>
          <w:tblCellMar>
            <w:top w:w="0" w:type="dxa"/>
            <w:left w:w="108" w:type="dxa"/>
            <w:bottom w:w="0" w:type="dxa"/>
            <w:right w:w="108" w:type="dxa"/>
          </w:tblCellMar>
        </w:tblPrEx>
        <w:tc>
          <w:tcPr>
            <w:tcW w:w="1252" w:type="dxa"/>
          </w:tcPr>
          <w:p w14:paraId="4280A714">
            <w:pPr>
              <w:spacing w:line="240" w:lineRule="auto"/>
              <w:ind w:firstLine="0" w:firstLineChars="0"/>
              <w:jc w:val="left"/>
              <w:rPr>
                <w:rFonts w:hint="eastAsia" w:ascii="仿宋" w:hAnsi="仿宋" w:eastAsia="仿宋" w:cs="仿宋"/>
              </w:rPr>
            </w:pPr>
            <w:r>
              <w:rPr>
                <w:rFonts w:hint="eastAsia" w:ascii="仿宋" w:hAnsi="仿宋" w:eastAsia="仿宋" w:cs="仿宋"/>
              </w:rPr>
              <w:t>R</w:t>
            </w:r>
          </w:p>
        </w:tc>
        <w:tc>
          <w:tcPr>
            <w:tcW w:w="6769" w:type="dxa"/>
          </w:tcPr>
          <w:p w14:paraId="7F5D9A5F">
            <w:pPr>
              <w:numPr>
                <w:ilvl w:val="0"/>
                <w:numId w:val="1"/>
              </w:numPr>
              <w:spacing w:line="240" w:lineRule="auto"/>
              <w:ind w:firstLineChars="0"/>
              <w:rPr>
                <w:rFonts w:hint="eastAsia" w:ascii="仿宋" w:hAnsi="仿宋" w:eastAsia="仿宋" w:cs="仿宋"/>
              </w:rPr>
            </w:pPr>
            <w:r>
              <w:rPr>
                <w:rFonts w:hint="eastAsia" w:ascii="仿宋" w:hAnsi="仿宋" w:eastAsia="仿宋" w:cs="仿宋"/>
              </w:rPr>
              <w:t>甲烷回收量（千克甲烷）</w:t>
            </w:r>
          </w:p>
        </w:tc>
      </w:tr>
    </w:tbl>
    <w:p w14:paraId="6122659B">
      <w:pPr>
        <w:jc w:val="left"/>
        <w:rPr>
          <w:rFonts w:hint="eastAsia" w:ascii="仿宋" w:hAnsi="仿宋" w:eastAsia="仿宋" w:cs="仿宋"/>
        </w:rPr>
      </w:pPr>
      <w:r>
        <w:rPr>
          <w:rFonts w:hint="eastAsia" w:ascii="仿宋" w:hAnsi="仿宋" w:eastAsia="仿宋" w:cs="仿宋"/>
          <w:i/>
        </w:rPr>
        <w:t>TOW=W</w:t>
      </w:r>
      <w:r>
        <w:rPr>
          <w:rFonts w:hint="eastAsia" w:ascii="仿宋" w:hAnsi="仿宋" w:eastAsia="仿宋" w:cs="仿宋"/>
        </w:rPr>
        <w:t>×</w:t>
      </w:r>
      <w:r>
        <w:rPr>
          <w:rFonts w:hint="eastAsia" w:ascii="仿宋" w:hAnsi="仿宋" w:eastAsia="仿宋" w:cs="仿宋"/>
          <w:sz w:val="30"/>
        </w:rPr>
        <w:t>（</w:t>
      </w:r>
      <w:r>
        <w:rPr>
          <w:rFonts w:hint="eastAsia" w:ascii="仿宋" w:hAnsi="仿宋" w:eastAsia="仿宋" w:cs="仿宋"/>
          <w:i/>
        </w:rPr>
        <w:t>COD</w:t>
      </w:r>
      <w:r>
        <w:rPr>
          <w:rFonts w:hint="eastAsia" w:ascii="仿宋" w:hAnsi="仿宋" w:eastAsia="仿宋" w:cs="仿宋"/>
          <w:i/>
          <w:sz w:val="18"/>
        </w:rPr>
        <w:t>in</w:t>
      </w:r>
      <w:r>
        <w:rPr>
          <w:rFonts w:hint="eastAsia" w:ascii="仿宋" w:hAnsi="仿宋" w:eastAsia="仿宋" w:cs="仿宋"/>
          <w:i/>
        </w:rPr>
        <w:t>-COD</w:t>
      </w:r>
      <w:r>
        <w:rPr>
          <w:rFonts w:hint="eastAsia" w:ascii="仿宋" w:hAnsi="仿宋" w:eastAsia="仿宋" w:cs="仿宋"/>
          <w:i/>
          <w:sz w:val="18"/>
        </w:rPr>
        <w:t>out</w:t>
      </w:r>
      <w:r>
        <w:rPr>
          <w:rFonts w:hint="eastAsia" w:ascii="仿宋" w:hAnsi="仿宋" w:eastAsia="仿宋" w:cs="仿宋"/>
          <w:sz w:val="30"/>
        </w:rPr>
        <w:t>）</w:t>
      </w:r>
      <w:r>
        <w:rPr>
          <w:rFonts w:hint="eastAsia" w:ascii="仿宋" w:hAnsi="仿宋" w:eastAsia="仿宋" w:cs="仿宋"/>
        </w:rPr>
        <w:t>――――――――――――公式5</w:t>
      </w:r>
    </w:p>
    <w:p w14:paraId="4388446F">
      <w:pPr>
        <w:jc w:val="left"/>
        <w:rPr>
          <w:rFonts w:hint="eastAsia" w:ascii="仿宋" w:hAnsi="仿宋" w:eastAsia="仿宋" w:cs="仿宋"/>
        </w:rPr>
      </w:pPr>
      <w:r>
        <w:rPr>
          <w:rFonts w:hint="eastAsia" w:ascii="仿宋" w:hAnsi="仿宋" w:eastAsia="仿宋" w:cs="仿宋"/>
        </w:rPr>
        <w:t>式中：</w:t>
      </w:r>
    </w:p>
    <w:tbl>
      <w:tblPr>
        <w:tblStyle w:val="27"/>
        <w:tblW w:w="5000" w:type="pct"/>
        <w:tblInd w:w="0" w:type="dxa"/>
        <w:tblLayout w:type="autofit"/>
        <w:tblCellMar>
          <w:top w:w="0" w:type="dxa"/>
          <w:left w:w="108" w:type="dxa"/>
          <w:bottom w:w="0" w:type="dxa"/>
          <w:right w:w="108" w:type="dxa"/>
        </w:tblCellMar>
      </w:tblPr>
      <w:tblGrid>
        <w:gridCol w:w="1056"/>
        <w:gridCol w:w="496"/>
        <w:gridCol w:w="6970"/>
      </w:tblGrid>
      <w:tr w14:paraId="0793478D">
        <w:tc>
          <w:tcPr>
            <w:tcW w:w="362" w:type="pct"/>
          </w:tcPr>
          <w:p w14:paraId="566EC286">
            <w:pPr>
              <w:spacing w:line="240" w:lineRule="auto"/>
              <w:ind w:firstLine="0" w:firstLineChars="0"/>
              <w:jc w:val="left"/>
              <w:rPr>
                <w:rFonts w:hint="eastAsia" w:ascii="仿宋" w:hAnsi="仿宋" w:eastAsia="仿宋" w:cs="仿宋"/>
              </w:rPr>
            </w:pPr>
            <w:r>
              <w:rPr>
                <w:rFonts w:hint="eastAsia" w:ascii="仿宋" w:hAnsi="仿宋" w:eastAsia="仿宋" w:cs="仿宋"/>
              </w:rPr>
              <w:t>W</w:t>
            </w:r>
          </w:p>
        </w:tc>
        <w:tc>
          <w:tcPr>
            <w:tcW w:w="146" w:type="pct"/>
          </w:tcPr>
          <w:p w14:paraId="1582623A">
            <w:pPr>
              <w:spacing w:line="240" w:lineRule="auto"/>
              <w:ind w:firstLine="0" w:firstLineChars="0"/>
              <w:rPr>
                <w:rFonts w:hint="eastAsia" w:ascii="仿宋" w:hAnsi="仿宋" w:eastAsia="仿宋" w:cs="仿宋"/>
              </w:rPr>
            </w:pPr>
            <w:r>
              <w:rPr>
                <w:rFonts w:hint="eastAsia" w:ascii="仿宋" w:hAnsi="仿宋" w:eastAsia="仿宋" w:cs="仿宋"/>
              </w:rPr>
              <w:t>—</w:t>
            </w:r>
          </w:p>
        </w:tc>
        <w:tc>
          <w:tcPr>
            <w:tcW w:w="4492" w:type="pct"/>
          </w:tcPr>
          <w:p w14:paraId="56071289">
            <w:pPr>
              <w:spacing w:line="240" w:lineRule="auto"/>
              <w:ind w:firstLine="0" w:firstLineChars="0"/>
              <w:rPr>
                <w:rFonts w:hint="eastAsia" w:ascii="仿宋" w:hAnsi="仿宋" w:eastAsia="仿宋" w:cs="仿宋"/>
              </w:rPr>
            </w:pPr>
            <w:r>
              <w:rPr>
                <w:rFonts w:hint="eastAsia" w:ascii="仿宋" w:hAnsi="仿宋" w:eastAsia="仿宋" w:cs="仿宋"/>
              </w:rPr>
              <w:t>厌氧处理过程产生的废水量（立方米），采用企业计量数据）；</w:t>
            </w:r>
          </w:p>
        </w:tc>
      </w:tr>
      <w:tr w14:paraId="571B98D2">
        <w:tblPrEx>
          <w:tblCellMar>
            <w:top w:w="0" w:type="dxa"/>
            <w:left w:w="108" w:type="dxa"/>
            <w:bottom w:w="0" w:type="dxa"/>
            <w:right w:w="108" w:type="dxa"/>
          </w:tblCellMar>
        </w:tblPrEx>
        <w:tc>
          <w:tcPr>
            <w:tcW w:w="362" w:type="pct"/>
          </w:tcPr>
          <w:p w14:paraId="4B5730AE">
            <w:pPr>
              <w:spacing w:line="240" w:lineRule="auto"/>
              <w:ind w:firstLine="0" w:firstLineChars="0"/>
              <w:jc w:val="left"/>
              <w:rPr>
                <w:rFonts w:hint="eastAsia" w:ascii="仿宋" w:hAnsi="仿宋" w:eastAsia="仿宋" w:cs="仿宋"/>
              </w:rPr>
            </w:pPr>
            <w:r>
              <w:rPr>
                <w:rFonts w:hint="eastAsia" w:ascii="仿宋" w:hAnsi="仿宋" w:eastAsia="仿宋" w:cs="仿宋"/>
              </w:rPr>
              <w:t>CODin</w:t>
            </w:r>
          </w:p>
        </w:tc>
        <w:tc>
          <w:tcPr>
            <w:tcW w:w="146" w:type="pct"/>
          </w:tcPr>
          <w:p w14:paraId="62D7E5AE">
            <w:pPr>
              <w:spacing w:line="240" w:lineRule="auto"/>
              <w:ind w:firstLine="0" w:firstLineChars="0"/>
              <w:rPr>
                <w:rFonts w:hint="eastAsia" w:ascii="仿宋" w:hAnsi="仿宋" w:eastAsia="仿宋" w:cs="仿宋"/>
              </w:rPr>
            </w:pPr>
            <w:r>
              <w:rPr>
                <w:rFonts w:hint="eastAsia" w:ascii="仿宋" w:hAnsi="仿宋" w:eastAsia="仿宋" w:cs="仿宋"/>
              </w:rPr>
              <w:t>—</w:t>
            </w:r>
          </w:p>
        </w:tc>
        <w:tc>
          <w:tcPr>
            <w:tcW w:w="4492" w:type="pct"/>
          </w:tcPr>
          <w:p w14:paraId="31C7F72F">
            <w:pPr>
              <w:spacing w:line="240" w:lineRule="auto"/>
              <w:ind w:firstLine="0" w:firstLineChars="0"/>
              <w:rPr>
                <w:rFonts w:hint="eastAsia" w:ascii="仿宋" w:hAnsi="仿宋" w:eastAsia="仿宋" w:cs="仿宋"/>
              </w:rPr>
            </w:pPr>
            <w:r>
              <w:rPr>
                <w:rFonts w:hint="eastAsia" w:ascii="仿宋" w:hAnsi="仿宋" w:eastAsia="仿宋" w:cs="仿宋"/>
              </w:rPr>
              <w:t>厌氧处理系统进口废水中的化学需氧量浓度（千克</w:t>
            </w:r>
          </w:p>
          <w:p w14:paraId="4376316B">
            <w:pPr>
              <w:spacing w:line="240" w:lineRule="auto"/>
              <w:ind w:firstLine="0" w:firstLineChars="0"/>
              <w:rPr>
                <w:rFonts w:hint="eastAsia" w:ascii="仿宋" w:hAnsi="仿宋" w:eastAsia="仿宋" w:cs="仿宋"/>
              </w:rPr>
            </w:pPr>
            <w:r>
              <w:rPr>
                <w:rFonts w:hint="eastAsia" w:ascii="仿宋" w:hAnsi="仿宋" w:eastAsia="仿宋" w:cs="仿宋"/>
              </w:rPr>
              <w:t>COD/立方米），采用企业检测值的平均值。</w:t>
            </w:r>
          </w:p>
        </w:tc>
      </w:tr>
      <w:tr w14:paraId="426B53EC">
        <w:tblPrEx>
          <w:tblCellMar>
            <w:top w:w="0" w:type="dxa"/>
            <w:left w:w="108" w:type="dxa"/>
            <w:bottom w:w="0" w:type="dxa"/>
            <w:right w:w="108" w:type="dxa"/>
          </w:tblCellMar>
        </w:tblPrEx>
        <w:tc>
          <w:tcPr>
            <w:tcW w:w="362" w:type="pct"/>
          </w:tcPr>
          <w:p w14:paraId="2D3E56DC">
            <w:pPr>
              <w:spacing w:line="240" w:lineRule="auto"/>
              <w:ind w:firstLine="0" w:firstLineChars="0"/>
              <w:jc w:val="left"/>
              <w:rPr>
                <w:rFonts w:hint="eastAsia" w:ascii="仿宋" w:hAnsi="仿宋" w:eastAsia="仿宋" w:cs="仿宋"/>
              </w:rPr>
            </w:pPr>
            <w:r>
              <w:rPr>
                <w:rFonts w:hint="eastAsia" w:ascii="仿宋" w:hAnsi="仿宋" w:eastAsia="仿宋" w:cs="仿宋"/>
              </w:rPr>
              <w:t xml:space="preserve">CODout </w:t>
            </w:r>
          </w:p>
        </w:tc>
        <w:tc>
          <w:tcPr>
            <w:tcW w:w="146" w:type="pct"/>
          </w:tcPr>
          <w:p w14:paraId="1E7BCC32">
            <w:pPr>
              <w:spacing w:line="240" w:lineRule="auto"/>
              <w:ind w:firstLine="0" w:firstLineChars="0"/>
              <w:rPr>
                <w:rFonts w:hint="eastAsia" w:ascii="仿宋" w:hAnsi="仿宋" w:eastAsia="仿宋" w:cs="仿宋"/>
              </w:rPr>
            </w:pPr>
            <w:r>
              <w:rPr>
                <w:rFonts w:hint="eastAsia" w:ascii="仿宋" w:hAnsi="仿宋" w:eastAsia="仿宋" w:cs="仿宋"/>
              </w:rPr>
              <w:t>—</w:t>
            </w:r>
          </w:p>
        </w:tc>
        <w:tc>
          <w:tcPr>
            <w:tcW w:w="4492" w:type="pct"/>
          </w:tcPr>
          <w:p w14:paraId="7F3D28A7">
            <w:pPr>
              <w:spacing w:line="240" w:lineRule="auto"/>
              <w:ind w:firstLine="0" w:firstLineChars="0"/>
              <w:rPr>
                <w:rFonts w:hint="eastAsia" w:ascii="仿宋" w:hAnsi="仿宋" w:eastAsia="仿宋" w:cs="仿宋"/>
              </w:rPr>
            </w:pPr>
            <w:r>
              <w:rPr>
                <w:rFonts w:hint="eastAsia" w:ascii="仿宋" w:hAnsi="仿宋" w:eastAsia="仿宋" w:cs="仿宋"/>
              </w:rPr>
              <w:t>厌氧处理系统出口废水中的化学需氧量浓度（千克</w:t>
            </w:r>
          </w:p>
          <w:p w14:paraId="23A877BF">
            <w:pPr>
              <w:spacing w:line="240" w:lineRule="auto"/>
              <w:ind w:firstLine="0" w:firstLineChars="0"/>
              <w:rPr>
                <w:rFonts w:hint="eastAsia" w:ascii="仿宋" w:hAnsi="仿宋" w:eastAsia="仿宋" w:cs="仿宋"/>
              </w:rPr>
            </w:pPr>
            <w:r>
              <w:rPr>
                <w:rFonts w:hint="eastAsia" w:ascii="仿宋" w:hAnsi="仿宋" w:eastAsia="仿宋" w:cs="仿宋"/>
              </w:rPr>
              <w:t>COD/立方米），采用企业检测值的平均值。</w:t>
            </w:r>
          </w:p>
        </w:tc>
      </w:tr>
    </w:tbl>
    <w:p w14:paraId="25DAE02F">
      <w:pPr>
        <w:ind w:firstLine="1120" w:firstLineChars="400"/>
        <w:rPr>
          <w:rFonts w:hint="eastAsia" w:ascii="仿宋" w:hAnsi="仿宋" w:eastAsia="仿宋" w:cs="仿宋"/>
        </w:rPr>
      </w:pPr>
      <w:r>
        <w:rPr>
          <w:rFonts w:hint="eastAsia" w:ascii="仿宋" w:hAnsi="仿宋" w:eastAsia="仿宋" w:cs="仿宋"/>
        </w:rPr>
        <w:object>
          <v:shape id="_x0000_i1032" o:spt="75" type="#_x0000_t75" style="height:22.5pt;width:103.5pt;" o:ole="t" filled="f" o:preferrelative="t" stroked="f" coordsize="21600,21600">
            <v:path/>
            <v:fill on="f" focussize="0,0"/>
            <v:stroke on="f" joinstyle="miter"/>
            <v:imagedata r:id="rId42" o:title=""/>
            <o:lock v:ext="edit" aspectratio="t"/>
            <w10:wrap type="none"/>
            <w10:anchorlock/>
          </v:shape>
          <o:OLEObject Type="Embed" ProgID="Equation.3" ShapeID="_x0000_i1032" DrawAspect="Content" ObjectID="_1468075732" r:id="rId41">
            <o:LockedField>false</o:LockedField>
          </o:OLEObject>
        </w:object>
      </w:r>
      <w:r>
        <w:rPr>
          <w:rFonts w:hint="eastAsia" w:ascii="仿宋" w:hAnsi="仿宋" w:eastAsia="仿宋" w:cs="仿宋"/>
        </w:rPr>
        <w:t>―――――――――――――――公式6</w:t>
      </w:r>
    </w:p>
    <w:p w14:paraId="5D72F6BA">
      <w:pPr>
        <w:jc w:val="left"/>
        <w:rPr>
          <w:rFonts w:hint="eastAsia" w:ascii="仿宋" w:hAnsi="仿宋" w:eastAsia="仿宋" w:cs="仿宋"/>
        </w:rPr>
      </w:pPr>
      <w:r>
        <w:rPr>
          <w:rFonts w:hint="eastAsia" w:ascii="仿宋" w:hAnsi="仿宋" w:eastAsia="仿宋" w:cs="仿宋"/>
        </w:rPr>
        <w:t>式中：</w:t>
      </w:r>
    </w:p>
    <w:tbl>
      <w:tblPr>
        <w:tblStyle w:val="27"/>
        <w:tblW w:w="5000" w:type="pct"/>
        <w:tblInd w:w="0" w:type="dxa"/>
        <w:tblLayout w:type="autofit"/>
        <w:tblCellMar>
          <w:top w:w="0" w:type="dxa"/>
          <w:left w:w="108" w:type="dxa"/>
          <w:bottom w:w="0" w:type="dxa"/>
          <w:right w:w="108" w:type="dxa"/>
        </w:tblCellMar>
      </w:tblPr>
      <w:tblGrid>
        <w:gridCol w:w="636"/>
        <w:gridCol w:w="496"/>
        <w:gridCol w:w="7390"/>
      </w:tblGrid>
      <w:tr w14:paraId="6B3439CE">
        <w:tblPrEx>
          <w:tblCellMar>
            <w:top w:w="0" w:type="dxa"/>
            <w:left w:w="108" w:type="dxa"/>
            <w:bottom w:w="0" w:type="dxa"/>
            <w:right w:w="108" w:type="dxa"/>
          </w:tblCellMar>
        </w:tblPrEx>
        <w:tc>
          <w:tcPr>
            <w:tcW w:w="285" w:type="pct"/>
          </w:tcPr>
          <w:p w14:paraId="15E605E5">
            <w:pPr>
              <w:spacing w:line="240" w:lineRule="auto"/>
              <w:ind w:firstLine="0" w:firstLineChars="0"/>
              <w:jc w:val="left"/>
              <w:rPr>
                <w:rFonts w:hint="eastAsia" w:ascii="仿宋" w:hAnsi="仿宋" w:eastAsia="仿宋" w:cs="仿宋"/>
              </w:rPr>
            </w:pPr>
            <w:r>
              <w:rPr>
                <w:rFonts w:hint="eastAsia" w:ascii="仿宋" w:hAnsi="仿宋" w:eastAsia="仿宋" w:cs="仿宋"/>
              </w:rPr>
              <w:t>B0</w:t>
            </w:r>
          </w:p>
        </w:tc>
        <w:tc>
          <w:tcPr>
            <w:tcW w:w="190" w:type="pct"/>
          </w:tcPr>
          <w:p w14:paraId="078EDB0D">
            <w:pPr>
              <w:spacing w:line="240" w:lineRule="auto"/>
              <w:ind w:firstLine="0" w:firstLineChars="0"/>
              <w:rPr>
                <w:rFonts w:hint="eastAsia" w:ascii="仿宋" w:hAnsi="仿宋" w:eastAsia="仿宋" w:cs="仿宋"/>
              </w:rPr>
            </w:pPr>
            <w:r>
              <w:rPr>
                <w:rFonts w:hint="eastAsia" w:ascii="仿宋" w:hAnsi="仿宋" w:eastAsia="仿宋" w:cs="仿宋"/>
              </w:rPr>
              <w:t>—</w:t>
            </w:r>
          </w:p>
        </w:tc>
        <w:tc>
          <w:tcPr>
            <w:tcW w:w="4525" w:type="pct"/>
          </w:tcPr>
          <w:p w14:paraId="644CE479">
            <w:pPr>
              <w:spacing w:line="240" w:lineRule="auto"/>
              <w:ind w:firstLine="0" w:firstLineChars="0"/>
              <w:rPr>
                <w:rFonts w:hint="eastAsia" w:ascii="仿宋" w:hAnsi="仿宋" w:eastAsia="仿宋" w:cs="仿宋"/>
              </w:rPr>
            </w:pPr>
            <w:r>
              <w:rPr>
                <w:rFonts w:hint="eastAsia" w:ascii="仿宋" w:hAnsi="仿宋" w:eastAsia="仿宋" w:cs="仿宋"/>
              </w:rPr>
              <w:t>厌氧处理废水系统的甲烷最大生产能力，单位为千克甲烷/千克COD，采用指南的推荐值0.25 千克甲烷/千克COD；</w:t>
            </w:r>
          </w:p>
        </w:tc>
      </w:tr>
      <w:tr w14:paraId="539FB46F">
        <w:tblPrEx>
          <w:tblCellMar>
            <w:top w:w="0" w:type="dxa"/>
            <w:left w:w="108" w:type="dxa"/>
            <w:bottom w:w="0" w:type="dxa"/>
            <w:right w:w="108" w:type="dxa"/>
          </w:tblCellMar>
        </w:tblPrEx>
        <w:tc>
          <w:tcPr>
            <w:tcW w:w="285" w:type="pct"/>
          </w:tcPr>
          <w:p w14:paraId="680C382A">
            <w:pPr>
              <w:spacing w:line="240" w:lineRule="auto"/>
              <w:ind w:firstLine="0" w:firstLineChars="0"/>
              <w:jc w:val="left"/>
              <w:rPr>
                <w:rFonts w:hint="eastAsia" w:ascii="仿宋" w:hAnsi="仿宋" w:eastAsia="仿宋" w:cs="仿宋"/>
              </w:rPr>
            </w:pPr>
            <w:r>
              <w:rPr>
                <w:rFonts w:hint="eastAsia" w:ascii="仿宋" w:hAnsi="仿宋" w:eastAsia="仿宋" w:cs="仿宋"/>
              </w:rPr>
              <w:t>MCF</w:t>
            </w:r>
          </w:p>
        </w:tc>
        <w:tc>
          <w:tcPr>
            <w:tcW w:w="190" w:type="pct"/>
          </w:tcPr>
          <w:p w14:paraId="30FA7D73">
            <w:pPr>
              <w:spacing w:line="240" w:lineRule="auto"/>
              <w:ind w:firstLine="0" w:firstLineChars="0"/>
              <w:rPr>
                <w:rFonts w:hint="eastAsia" w:ascii="仿宋" w:hAnsi="仿宋" w:eastAsia="仿宋" w:cs="仿宋"/>
              </w:rPr>
            </w:pPr>
            <w:r>
              <w:rPr>
                <w:rFonts w:hint="eastAsia" w:ascii="仿宋" w:hAnsi="仿宋" w:eastAsia="仿宋" w:cs="仿宋"/>
              </w:rPr>
              <w:t>—</w:t>
            </w:r>
          </w:p>
        </w:tc>
        <w:tc>
          <w:tcPr>
            <w:tcW w:w="4525" w:type="pct"/>
          </w:tcPr>
          <w:p w14:paraId="73D389FF">
            <w:pPr>
              <w:spacing w:line="240" w:lineRule="auto"/>
              <w:ind w:firstLine="0" w:firstLineChars="0"/>
              <w:rPr>
                <w:rFonts w:hint="eastAsia" w:ascii="仿宋" w:hAnsi="仿宋" w:eastAsia="仿宋" w:cs="仿宋"/>
              </w:rPr>
            </w:pPr>
            <w:r>
              <w:rPr>
                <w:rFonts w:hint="eastAsia" w:ascii="仿宋" w:hAnsi="仿宋" w:eastAsia="仿宋" w:cs="仿宋"/>
              </w:rPr>
              <w:t>甲烷修正因子，企业无实测，采用指南的推荐值。</w:t>
            </w:r>
          </w:p>
        </w:tc>
      </w:tr>
    </w:tbl>
    <w:p w14:paraId="6A716A52">
      <w:pPr>
        <w:pStyle w:val="4"/>
        <w:spacing w:beforeLines="50" w:afterLines="50"/>
        <w:rPr>
          <w:rFonts w:hint="eastAsia" w:ascii="仿宋" w:hAnsi="仿宋" w:eastAsia="仿宋" w:cs="仿宋"/>
          <w:szCs w:val="28"/>
        </w:rPr>
      </w:pPr>
      <w:bookmarkStart w:id="275" w:name="_Toc251"/>
      <w:r>
        <w:rPr>
          <w:rFonts w:hint="eastAsia" w:ascii="仿宋" w:hAnsi="仿宋" w:eastAsia="仿宋" w:cs="仿宋"/>
          <w:szCs w:val="28"/>
        </w:rPr>
        <w:t>3.3.4 CO</w:t>
      </w:r>
      <w:r>
        <w:rPr>
          <w:rFonts w:hint="eastAsia" w:ascii="仿宋" w:hAnsi="仿宋" w:eastAsia="仿宋" w:cs="仿宋"/>
          <w:szCs w:val="28"/>
          <w:vertAlign w:val="subscript"/>
        </w:rPr>
        <w:t>2</w:t>
      </w:r>
      <w:r>
        <w:rPr>
          <w:rFonts w:hint="eastAsia" w:ascii="仿宋" w:hAnsi="仿宋" w:eastAsia="仿宋" w:cs="仿宋"/>
          <w:szCs w:val="28"/>
        </w:rPr>
        <w:t>回收利用量</w:t>
      </w:r>
      <w:bookmarkEnd w:id="275"/>
    </w:p>
    <w:p w14:paraId="2A06EABD">
      <w:pPr>
        <w:rPr>
          <w:rFonts w:hint="eastAsia" w:ascii="仿宋" w:hAnsi="仿宋" w:eastAsia="仿宋" w:cs="仿宋"/>
          <w:szCs w:val="28"/>
        </w:rPr>
      </w:pPr>
      <w:r>
        <w:rPr>
          <w:rFonts w:hint="eastAsia" w:ascii="仿宋" w:hAnsi="仿宋" w:eastAsia="仿宋" w:cs="仿宋"/>
          <w:szCs w:val="28"/>
        </w:rPr>
        <w:t>受核查方净购入使用电力产生的排放</w:t>
      </w:r>
      <w:r>
        <w:rPr>
          <w:rFonts w:hint="eastAsia" w:ascii="仿宋" w:hAnsi="仿宋" w:eastAsia="仿宋" w:cs="仿宋"/>
        </w:rPr>
        <w:t>按公式8计算：</w:t>
      </w:r>
    </w:p>
    <w:p w14:paraId="3AC342A9">
      <w:pPr>
        <w:rPr>
          <w:rFonts w:hint="eastAsia" w:ascii="仿宋" w:hAnsi="仿宋" w:eastAsia="仿宋" w:cs="仿宋"/>
        </w:rPr>
      </w:pPr>
      <w:r>
        <w:rPr>
          <w:rFonts w:hint="eastAsia" w:ascii="仿宋" w:hAnsi="仿宋" w:eastAsia="仿宋" w:cs="仿宋"/>
          <w:szCs w:val="28"/>
        </w:rPr>
        <w:t>R</w:t>
      </w:r>
      <w:r>
        <w:rPr>
          <w:rFonts w:hint="eastAsia" w:ascii="仿宋" w:hAnsi="仿宋" w:eastAsia="仿宋" w:cs="仿宋"/>
          <w:szCs w:val="28"/>
          <w:vertAlign w:val="subscript"/>
        </w:rPr>
        <w:t>CO2回收</w:t>
      </w:r>
      <w:r>
        <w:rPr>
          <w:rFonts w:hint="eastAsia" w:ascii="仿宋" w:hAnsi="仿宋" w:eastAsia="仿宋" w:cs="仿宋"/>
          <w:szCs w:val="28"/>
        </w:rPr>
        <w:t>=（Q</w:t>
      </w:r>
      <w:r>
        <w:rPr>
          <w:rFonts w:hint="eastAsia" w:ascii="仿宋" w:hAnsi="仿宋" w:eastAsia="仿宋" w:cs="仿宋"/>
          <w:szCs w:val="28"/>
          <w:vertAlign w:val="subscript"/>
        </w:rPr>
        <w:t>外供</w:t>
      </w:r>
      <w:r>
        <w:rPr>
          <w:rFonts w:hint="eastAsia" w:ascii="仿宋" w:hAnsi="仿宋" w:eastAsia="仿宋" w:cs="仿宋"/>
          <w:szCs w:val="28"/>
        </w:rPr>
        <w:t>×PUR</w:t>
      </w:r>
      <w:r>
        <w:rPr>
          <w:rFonts w:hint="eastAsia" w:ascii="仿宋" w:hAnsi="仿宋" w:eastAsia="仿宋" w:cs="仿宋"/>
          <w:szCs w:val="28"/>
          <w:vertAlign w:val="subscript"/>
        </w:rPr>
        <w:t>外供</w:t>
      </w:r>
      <w:r>
        <w:rPr>
          <w:rFonts w:hint="eastAsia" w:ascii="仿宋" w:hAnsi="仿宋" w:eastAsia="仿宋" w:cs="仿宋"/>
          <w:szCs w:val="28"/>
        </w:rPr>
        <w:t>+Q</w:t>
      </w:r>
      <w:r>
        <w:rPr>
          <w:rFonts w:hint="eastAsia" w:ascii="仿宋" w:hAnsi="仿宋" w:eastAsia="仿宋" w:cs="仿宋"/>
          <w:szCs w:val="28"/>
          <w:vertAlign w:val="subscript"/>
        </w:rPr>
        <w:t>自用</w:t>
      </w:r>
      <w:r>
        <w:rPr>
          <w:rFonts w:hint="eastAsia" w:ascii="仿宋" w:hAnsi="仿宋" w:eastAsia="仿宋" w:cs="仿宋"/>
          <w:szCs w:val="28"/>
        </w:rPr>
        <w:t>× PUR</w:t>
      </w:r>
      <w:r>
        <w:rPr>
          <w:rFonts w:hint="eastAsia" w:ascii="仿宋" w:hAnsi="仿宋" w:eastAsia="仿宋" w:cs="仿宋"/>
          <w:szCs w:val="28"/>
          <w:vertAlign w:val="subscript"/>
        </w:rPr>
        <w:t>自用</w:t>
      </w:r>
      <w:r>
        <w:rPr>
          <w:rFonts w:hint="eastAsia" w:ascii="仿宋" w:hAnsi="仿宋" w:eastAsia="仿宋" w:cs="仿宋"/>
          <w:szCs w:val="28"/>
          <w:vertAlign w:val="superscript"/>
        </w:rPr>
        <w:t xml:space="preserve"> </w:t>
      </w:r>
      <w:r>
        <w:rPr>
          <w:rFonts w:hint="eastAsia" w:ascii="仿宋" w:hAnsi="仿宋" w:eastAsia="仿宋" w:cs="仿宋"/>
        </w:rPr>
        <w:t>）*19.77―――公式7</w:t>
      </w:r>
    </w:p>
    <w:p w14:paraId="5DF81394">
      <w:pPr>
        <w:rPr>
          <w:rFonts w:hint="eastAsia" w:ascii="仿宋" w:hAnsi="仿宋" w:eastAsia="仿宋" w:cs="仿宋"/>
        </w:rPr>
      </w:pPr>
      <w:r>
        <w:rPr>
          <w:rFonts w:hint="eastAsia" w:ascii="仿宋" w:hAnsi="仿宋" w:eastAsia="仿宋" w:cs="仿宋"/>
        </w:rPr>
        <w:t>其中：</w:t>
      </w:r>
    </w:p>
    <w:tbl>
      <w:tblPr>
        <w:tblStyle w:val="27"/>
        <w:tblW w:w="5000" w:type="pct"/>
        <w:tblInd w:w="0" w:type="dxa"/>
        <w:tblLayout w:type="autofit"/>
        <w:tblCellMar>
          <w:top w:w="0" w:type="dxa"/>
          <w:left w:w="108" w:type="dxa"/>
          <w:bottom w:w="0" w:type="dxa"/>
          <w:right w:w="108" w:type="dxa"/>
        </w:tblCellMar>
      </w:tblPr>
      <w:tblGrid>
        <w:gridCol w:w="1672"/>
        <w:gridCol w:w="698"/>
        <w:gridCol w:w="6152"/>
      </w:tblGrid>
      <w:tr w14:paraId="59C5875D">
        <w:tblPrEx>
          <w:tblCellMar>
            <w:top w:w="0" w:type="dxa"/>
            <w:left w:w="108" w:type="dxa"/>
            <w:bottom w:w="0" w:type="dxa"/>
            <w:right w:w="108" w:type="dxa"/>
          </w:tblCellMar>
        </w:tblPrEx>
        <w:tc>
          <w:tcPr>
            <w:tcW w:w="1061" w:type="pct"/>
          </w:tcPr>
          <w:p w14:paraId="2769FD02">
            <w:pPr>
              <w:spacing w:line="240" w:lineRule="auto"/>
              <w:ind w:firstLine="610" w:firstLineChars="218"/>
              <w:jc w:val="left"/>
              <w:rPr>
                <w:rFonts w:hint="eastAsia" w:ascii="仿宋" w:hAnsi="仿宋" w:eastAsia="仿宋" w:cs="仿宋"/>
                <w:szCs w:val="28"/>
              </w:rPr>
            </w:pPr>
            <w:r>
              <w:rPr>
                <w:rFonts w:hint="eastAsia" w:ascii="仿宋" w:hAnsi="仿宋" w:eastAsia="仿宋" w:cs="仿宋"/>
                <w:szCs w:val="28"/>
              </w:rPr>
              <w:t>R</w:t>
            </w:r>
            <w:r>
              <w:rPr>
                <w:rFonts w:hint="eastAsia" w:ascii="仿宋" w:hAnsi="仿宋" w:eastAsia="仿宋" w:cs="仿宋"/>
                <w:szCs w:val="28"/>
                <w:vertAlign w:val="subscript"/>
              </w:rPr>
              <w:t>CO2回收</w:t>
            </w:r>
          </w:p>
        </w:tc>
        <w:tc>
          <w:tcPr>
            <w:tcW w:w="250" w:type="pct"/>
          </w:tcPr>
          <w:p w14:paraId="39EFBDCB">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689" w:type="pct"/>
          </w:tcPr>
          <w:p w14:paraId="5C7F838B">
            <w:pPr>
              <w:spacing w:line="240" w:lineRule="auto"/>
              <w:ind w:firstLine="201" w:firstLineChars="72"/>
              <w:rPr>
                <w:rFonts w:hint="eastAsia" w:ascii="仿宋" w:hAnsi="仿宋" w:eastAsia="仿宋" w:cs="仿宋"/>
                <w:szCs w:val="28"/>
              </w:rPr>
            </w:pPr>
            <w:r>
              <w:rPr>
                <w:rFonts w:hint="eastAsia" w:ascii="仿宋" w:hAnsi="仿宋" w:eastAsia="仿宋" w:cs="仿宋"/>
                <w:szCs w:val="28"/>
              </w:rPr>
              <w:t>CO</w:t>
            </w:r>
            <w:r>
              <w:rPr>
                <w:rFonts w:hint="eastAsia" w:ascii="仿宋" w:hAnsi="仿宋" w:eastAsia="仿宋" w:cs="仿宋"/>
                <w:szCs w:val="28"/>
                <w:vertAlign w:val="subscript"/>
              </w:rPr>
              <w:t>2</w:t>
            </w:r>
            <w:r>
              <w:rPr>
                <w:rFonts w:hint="eastAsia" w:ascii="仿宋" w:hAnsi="仿宋" w:eastAsia="仿宋" w:cs="仿宋"/>
                <w:szCs w:val="28"/>
              </w:rPr>
              <w:t>回收利用量，单位为吨（吨CO</w:t>
            </w:r>
            <w:r>
              <w:rPr>
                <w:rFonts w:hint="eastAsia" w:ascii="仿宋" w:hAnsi="仿宋" w:eastAsia="仿宋" w:cs="仿宋"/>
                <w:szCs w:val="28"/>
                <w:vertAlign w:val="subscript"/>
              </w:rPr>
              <w:t>2</w:t>
            </w:r>
            <w:r>
              <w:rPr>
                <w:rFonts w:hint="eastAsia" w:ascii="仿宋" w:hAnsi="仿宋" w:eastAsia="仿宋" w:cs="仿宋"/>
                <w:szCs w:val="28"/>
              </w:rPr>
              <w:t>）；</w:t>
            </w:r>
          </w:p>
        </w:tc>
      </w:tr>
      <w:tr w14:paraId="08BE8878">
        <w:tblPrEx>
          <w:tblCellMar>
            <w:top w:w="0" w:type="dxa"/>
            <w:left w:w="108" w:type="dxa"/>
            <w:bottom w:w="0" w:type="dxa"/>
            <w:right w:w="108" w:type="dxa"/>
          </w:tblCellMar>
        </w:tblPrEx>
        <w:tc>
          <w:tcPr>
            <w:tcW w:w="1061" w:type="pct"/>
          </w:tcPr>
          <w:p w14:paraId="5120F7CA">
            <w:pPr>
              <w:spacing w:line="240" w:lineRule="auto"/>
              <w:ind w:firstLine="618" w:firstLineChars="221"/>
              <w:jc w:val="left"/>
              <w:rPr>
                <w:rFonts w:hint="eastAsia" w:ascii="仿宋" w:hAnsi="仿宋" w:eastAsia="仿宋" w:cs="仿宋"/>
                <w:szCs w:val="28"/>
              </w:rPr>
            </w:pPr>
            <w:r>
              <w:rPr>
                <w:rFonts w:hint="eastAsia" w:ascii="仿宋" w:hAnsi="仿宋" w:eastAsia="仿宋" w:cs="仿宋"/>
                <w:szCs w:val="28"/>
              </w:rPr>
              <w:t>Q</w:t>
            </w:r>
            <w:r>
              <w:rPr>
                <w:rFonts w:hint="eastAsia" w:ascii="仿宋" w:hAnsi="仿宋" w:eastAsia="仿宋" w:cs="仿宋"/>
                <w:szCs w:val="28"/>
                <w:vertAlign w:val="subscript"/>
              </w:rPr>
              <w:t>外供</w:t>
            </w:r>
          </w:p>
        </w:tc>
        <w:tc>
          <w:tcPr>
            <w:tcW w:w="250" w:type="pct"/>
          </w:tcPr>
          <w:p w14:paraId="624B1C8E">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689" w:type="pct"/>
          </w:tcPr>
          <w:p w14:paraId="02363656">
            <w:pPr>
              <w:spacing w:line="240" w:lineRule="auto"/>
              <w:ind w:firstLine="201" w:firstLineChars="72"/>
              <w:rPr>
                <w:rFonts w:hint="eastAsia" w:ascii="仿宋" w:hAnsi="仿宋" w:eastAsia="仿宋" w:cs="仿宋"/>
                <w:szCs w:val="28"/>
              </w:rPr>
            </w:pPr>
            <w:r>
              <w:rPr>
                <w:rFonts w:hint="eastAsia" w:ascii="仿宋" w:hAnsi="仿宋" w:eastAsia="仿宋" w:cs="仿宋"/>
                <w:szCs w:val="28"/>
              </w:rPr>
              <w:t>回收且外供给其他单位的 CO</w:t>
            </w:r>
            <w:r>
              <w:rPr>
                <w:rFonts w:hint="eastAsia" w:ascii="仿宋" w:hAnsi="仿宋" w:eastAsia="仿宋" w:cs="仿宋"/>
                <w:szCs w:val="28"/>
                <w:vertAlign w:val="subscript"/>
              </w:rPr>
              <w:t>2</w:t>
            </w:r>
            <w:r>
              <w:rPr>
                <w:rFonts w:hint="eastAsia" w:ascii="仿宋" w:hAnsi="仿宋" w:eastAsia="仿宋" w:cs="仿宋"/>
                <w:szCs w:val="28"/>
              </w:rPr>
              <w:t>气体体积，单位为万立方米（万NM</w:t>
            </w:r>
            <w:r>
              <w:rPr>
                <w:rFonts w:hint="eastAsia" w:ascii="仿宋" w:hAnsi="仿宋" w:eastAsia="仿宋" w:cs="仿宋"/>
                <w:szCs w:val="28"/>
                <w:vertAlign w:val="superscript"/>
              </w:rPr>
              <w:t>3</w:t>
            </w:r>
            <w:r>
              <w:rPr>
                <w:rFonts w:hint="eastAsia" w:ascii="仿宋" w:hAnsi="仿宋" w:eastAsia="仿宋" w:cs="仿宋"/>
                <w:szCs w:val="28"/>
              </w:rPr>
              <w:t>）；</w:t>
            </w:r>
          </w:p>
        </w:tc>
      </w:tr>
      <w:tr w14:paraId="4DDC123B">
        <w:tblPrEx>
          <w:tblCellMar>
            <w:top w:w="0" w:type="dxa"/>
            <w:left w:w="108" w:type="dxa"/>
            <w:bottom w:w="0" w:type="dxa"/>
            <w:right w:w="108" w:type="dxa"/>
          </w:tblCellMar>
        </w:tblPrEx>
        <w:tc>
          <w:tcPr>
            <w:tcW w:w="1061" w:type="pct"/>
          </w:tcPr>
          <w:p w14:paraId="577B8D0C">
            <w:pPr>
              <w:spacing w:line="240" w:lineRule="auto"/>
              <w:ind w:firstLine="618" w:firstLineChars="221"/>
              <w:jc w:val="left"/>
              <w:rPr>
                <w:rFonts w:hint="eastAsia" w:ascii="仿宋" w:hAnsi="仿宋" w:eastAsia="仿宋" w:cs="仿宋"/>
                <w:szCs w:val="28"/>
              </w:rPr>
            </w:pPr>
            <w:r>
              <w:rPr>
                <w:rFonts w:hint="eastAsia" w:ascii="仿宋" w:hAnsi="仿宋" w:eastAsia="仿宋" w:cs="仿宋"/>
                <w:szCs w:val="28"/>
              </w:rPr>
              <w:t>PUR</w:t>
            </w:r>
            <w:r>
              <w:rPr>
                <w:rFonts w:hint="eastAsia" w:ascii="仿宋" w:hAnsi="仿宋" w:eastAsia="仿宋" w:cs="仿宋"/>
                <w:szCs w:val="28"/>
                <w:vertAlign w:val="subscript"/>
              </w:rPr>
              <w:t>外供</w:t>
            </w:r>
          </w:p>
        </w:tc>
        <w:tc>
          <w:tcPr>
            <w:tcW w:w="250" w:type="pct"/>
          </w:tcPr>
          <w:p w14:paraId="6600302E">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689" w:type="pct"/>
          </w:tcPr>
          <w:p w14:paraId="546B38FA">
            <w:pPr>
              <w:spacing w:line="240" w:lineRule="auto"/>
              <w:ind w:firstLine="201" w:firstLineChars="72"/>
              <w:rPr>
                <w:rFonts w:hint="eastAsia" w:ascii="仿宋" w:hAnsi="仿宋" w:eastAsia="仿宋" w:cs="仿宋"/>
                <w:szCs w:val="28"/>
              </w:rPr>
            </w:pPr>
            <w:r>
              <w:rPr>
                <w:rFonts w:hint="eastAsia" w:ascii="仿宋" w:hAnsi="仿宋" w:eastAsia="仿宋" w:cs="仿宋"/>
                <w:szCs w:val="28"/>
              </w:rPr>
              <w:t>外供气体的纯度（CO</w:t>
            </w:r>
            <w:r>
              <w:rPr>
                <w:rFonts w:hint="eastAsia" w:ascii="仿宋" w:hAnsi="仿宋" w:eastAsia="仿宋" w:cs="仿宋"/>
                <w:szCs w:val="28"/>
                <w:vertAlign w:val="subscript"/>
              </w:rPr>
              <w:t>2</w:t>
            </w:r>
            <w:r>
              <w:rPr>
                <w:rFonts w:hint="eastAsia" w:ascii="仿宋" w:hAnsi="仿宋" w:eastAsia="仿宋" w:cs="仿宋"/>
                <w:szCs w:val="28"/>
              </w:rPr>
              <w:t>体积浓度），取值范围为 0～1；</w:t>
            </w:r>
          </w:p>
        </w:tc>
      </w:tr>
      <w:tr w14:paraId="2CDFC970">
        <w:tblPrEx>
          <w:tblCellMar>
            <w:top w:w="0" w:type="dxa"/>
            <w:left w:w="108" w:type="dxa"/>
            <w:bottom w:w="0" w:type="dxa"/>
            <w:right w:w="108" w:type="dxa"/>
          </w:tblCellMar>
        </w:tblPrEx>
        <w:tc>
          <w:tcPr>
            <w:tcW w:w="1061" w:type="pct"/>
          </w:tcPr>
          <w:p w14:paraId="1FC517C3">
            <w:pPr>
              <w:spacing w:line="240" w:lineRule="auto"/>
              <w:ind w:firstLine="618" w:firstLineChars="221"/>
              <w:jc w:val="left"/>
              <w:rPr>
                <w:rFonts w:hint="eastAsia" w:ascii="仿宋" w:hAnsi="仿宋" w:eastAsia="仿宋" w:cs="仿宋"/>
                <w:szCs w:val="28"/>
              </w:rPr>
            </w:pPr>
            <w:r>
              <w:rPr>
                <w:rFonts w:hint="eastAsia" w:ascii="仿宋" w:hAnsi="仿宋" w:eastAsia="仿宋" w:cs="仿宋"/>
                <w:szCs w:val="28"/>
              </w:rPr>
              <w:t>Q</w:t>
            </w:r>
            <w:r>
              <w:rPr>
                <w:rFonts w:hint="eastAsia" w:ascii="仿宋" w:hAnsi="仿宋" w:eastAsia="仿宋" w:cs="仿宋"/>
                <w:szCs w:val="28"/>
                <w:vertAlign w:val="subscript"/>
              </w:rPr>
              <w:t>自用</w:t>
            </w:r>
          </w:p>
        </w:tc>
        <w:tc>
          <w:tcPr>
            <w:tcW w:w="250" w:type="pct"/>
          </w:tcPr>
          <w:p w14:paraId="6519B342">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689" w:type="pct"/>
          </w:tcPr>
          <w:p w14:paraId="58CEC1E6">
            <w:pPr>
              <w:spacing w:line="240" w:lineRule="auto"/>
              <w:ind w:firstLine="201" w:firstLineChars="72"/>
              <w:rPr>
                <w:rFonts w:hint="eastAsia" w:ascii="仿宋" w:hAnsi="仿宋" w:eastAsia="仿宋" w:cs="仿宋"/>
                <w:szCs w:val="28"/>
              </w:rPr>
            </w:pPr>
            <w:r>
              <w:rPr>
                <w:rFonts w:hint="eastAsia" w:ascii="仿宋" w:hAnsi="仿宋" w:eastAsia="仿宋" w:cs="仿宋"/>
                <w:szCs w:val="28"/>
              </w:rPr>
              <w:t>回收且自用作生产原料的 CO</w:t>
            </w:r>
            <w:r>
              <w:rPr>
                <w:rFonts w:hint="eastAsia" w:ascii="仿宋" w:hAnsi="仿宋" w:eastAsia="仿宋" w:cs="仿宋"/>
                <w:szCs w:val="28"/>
                <w:vertAlign w:val="subscript"/>
              </w:rPr>
              <w:t>2</w:t>
            </w:r>
            <w:r>
              <w:rPr>
                <w:rFonts w:hint="eastAsia" w:ascii="仿宋" w:hAnsi="仿宋" w:eastAsia="仿宋" w:cs="仿宋"/>
                <w:szCs w:val="28"/>
              </w:rPr>
              <w:t>气体体积，单位为万立方米（万NM</w:t>
            </w:r>
            <w:r>
              <w:rPr>
                <w:rFonts w:hint="eastAsia" w:ascii="仿宋" w:hAnsi="仿宋" w:eastAsia="仿宋" w:cs="仿宋"/>
                <w:szCs w:val="28"/>
                <w:vertAlign w:val="superscript"/>
              </w:rPr>
              <w:t>3</w:t>
            </w:r>
            <w:r>
              <w:rPr>
                <w:rFonts w:hint="eastAsia" w:ascii="仿宋" w:hAnsi="仿宋" w:eastAsia="仿宋" w:cs="仿宋"/>
                <w:szCs w:val="28"/>
              </w:rPr>
              <w:t>）；</w:t>
            </w:r>
          </w:p>
        </w:tc>
      </w:tr>
      <w:tr w14:paraId="722DAA73">
        <w:tblPrEx>
          <w:tblCellMar>
            <w:top w:w="0" w:type="dxa"/>
            <w:left w:w="108" w:type="dxa"/>
            <w:bottom w:w="0" w:type="dxa"/>
            <w:right w:w="108" w:type="dxa"/>
          </w:tblCellMar>
        </w:tblPrEx>
        <w:tc>
          <w:tcPr>
            <w:tcW w:w="1061" w:type="pct"/>
          </w:tcPr>
          <w:p w14:paraId="146F3416">
            <w:pPr>
              <w:spacing w:line="240" w:lineRule="auto"/>
              <w:ind w:firstLine="618" w:firstLineChars="221"/>
              <w:jc w:val="left"/>
              <w:rPr>
                <w:rFonts w:hint="eastAsia" w:ascii="仿宋" w:hAnsi="仿宋" w:eastAsia="仿宋" w:cs="仿宋"/>
                <w:szCs w:val="28"/>
              </w:rPr>
            </w:pPr>
            <w:r>
              <w:rPr>
                <w:rFonts w:hint="eastAsia" w:ascii="仿宋" w:hAnsi="仿宋" w:eastAsia="仿宋" w:cs="仿宋"/>
                <w:szCs w:val="28"/>
              </w:rPr>
              <w:t>PUR</w:t>
            </w:r>
            <w:r>
              <w:rPr>
                <w:rFonts w:hint="eastAsia" w:ascii="仿宋" w:hAnsi="仿宋" w:eastAsia="仿宋" w:cs="仿宋"/>
                <w:szCs w:val="28"/>
                <w:vertAlign w:val="subscript"/>
              </w:rPr>
              <w:t>自用</w:t>
            </w:r>
          </w:p>
        </w:tc>
        <w:tc>
          <w:tcPr>
            <w:tcW w:w="250" w:type="pct"/>
          </w:tcPr>
          <w:p w14:paraId="38B4F283">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689" w:type="pct"/>
          </w:tcPr>
          <w:p w14:paraId="6860E12E">
            <w:pPr>
              <w:spacing w:line="240" w:lineRule="auto"/>
              <w:ind w:firstLine="201" w:firstLineChars="72"/>
              <w:rPr>
                <w:rFonts w:hint="eastAsia" w:ascii="仿宋" w:hAnsi="仿宋" w:eastAsia="仿宋" w:cs="仿宋"/>
                <w:szCs w:val="28"/>
              </w:rPr>
            </w:pPr>
            <w:r>
              <w:rPr>
                <w:rFonts w:hint="eastAsia" w:ascii="仿宋" w:hAnsi="仿宋" w:eastAsia="仿宋" w:cs="仿宋"/>
                <w:szCs w:val="28"/>
              </w:rPr>
              <w:t>回收且自用作生产原料的的纯度（CO</w:t>
            </w:r>
            <w:r>
              <w:rPr>
                <w:rFonts w:hint="eastAsia" w:ascii="仿宋" w:hAnsi="仿宋" w:eastAsia="仿宋" w:cs="仿宋"/>
                <w:szCs w:val="28"/>
                <w:vertAlign w:val="subscript"/>
              </w:rPr>
              <w:t>2</w:t>
            </w:r>
            <w:r>
              <w:rPr>
                <w:rFonts w:hint="eastAsia" w:ascii="仿宋" w:hAnsi="仿宋" w:eastAsia="仿宋" w:cs="仿宋"/>
                <w:szCs w:val="28"/>
              </w:rPr>
              <w:t>体积浓度），取值范围为 0～1；</w:t>
            </w:r>
          </w:p>
        </w:tc>
      </w:tr>
    </w:tbl>
    <w:p w14:paraId="538CE492">
      <w:pPr>
        <w:pStyle w:val="4"/>
        <w:spacing w:beforeLines="50" w:afterLines="50"/>
        <w:rPr>
          <w:rFonts w:hint="eastAsia" w:ascii="仿宋" w:hAnsi="仿宋" w:eastAsia="仿宋" w:cs="仿宋"/>
          <w:szCs w:val="28"/>
        </w:rPr>
      </w:pPr>
      <w:bookmarkStart w:id="276" w:name="_Toc3618"/>
      <w:r>
        <w:rPr>
          <w:rFonts w:hint="eastAsia" w:ascii="仿宋" w:hAnsi="仿宋" w:eastAsia="仿宋" w:cs="仿宋"/>
          <w:szCs w:val="28"/>
        </w:rPr>
        <w:t>3.3.5 净购入使用电力和热力产生的排放</w:t>
      </w:r>
      <w:bookmarkEnd w:id="276"/>
    </w:p>
    <w:p w14:paraId="172BCC4B">
      <w:pPr>
        <w:rPr>
          <w:rFonts w:hint="eastAsia" w:ascii="仿宋" w:hAnsi="仿宋" w:eastAsia="仿宋" w:cs="仿宋"/>
          <w:szCs w:val="28"/>
        </w:rPr>
      </w:pPr>
      <w:r>
        <w:rPr>
          <w:rFonts w:hint="eastAsia" w:ascii="仿宋" w:hAnsi="仿宋" w:eastAsia="仿宋" w:cs="仿宋"/>
          <w:szCs w:val="28"/>
        </w:rPr>
        <w:t>受核查方净购入使用电力产生的排放</w:t>
      </w:r>
      <w:r>
        <w:rPr>
          <w:rFonts w:hint="eastAsia" w:ascii="仿宋" w:hAnsi="仿宋" w:eastAsia="仿宋" w:cs="仿宋"/>
        </w:rPr>
        <w:t>按公式8计算：</w:t>
      </w:r>
    </w:p>
    <w:p w14:paraId="300F5746">
      <w:pPr>
        <w:rPr>
          <w:rFonts w:hint="eastAsia" w:ascii="仿宋" w:hAnsi="仿宋" w:eastAsia="仿宋" w:cs="仿宋"/>
        </w:rPr>
      </w:pPr>
      <w:r>
        <w:rPr>
          <w:rFonts w:hint="eastAsia" w:ascii="仿宋" w:hAnsi="仿宋" w:eastAsia="仿宋" w:cs="仿宋"/>
          <w:szCs w:val="28"/>
        </w:rPr>
        <w:t>E</w:t>
      </w:r>
      <w:r>
        <w:rPr>
          <w:rFonts w:hint="eastAsia" w:ascii="仿宋" w:hAnsi="仿宋" w:eastAsia="仿宋" w:cs="仿宋"/>
          <w:szCs w:val="28"/>
          <w:vertAlign w:val="subscript"/>
        </w:rPr>
        <w:t>电</w:t>
      </w:r>
      <w:r>
        <w:rPr>
          <w:rFonts w:hint="eastAsia" w:ascii="仿宋" w:hAnsi="仿宋" w:eastAsia="仿宋" w:cs="仿宋"/>
          <w:szCs w:val="28"/>
        </w:rPr>
        <w:t>=AD</w:t>
      </w:r>
      <w:r>
        <w:rPr>
          <w:rFonts w:hint="eastAsia" w:ascii="仿宋" w:hAnsi="仿宋" w:eastAsia="仿宋" w:cs="仿宋"/>
          <w:color w:val="333333"/>
          <w:szCs w:val="28"/>
          <w:shd w:val="clear" w:color="auto" w:fill="FFFFFF"/>
          <w:vertAlign w:val="subscript"/>
        </w:rPr>
        <w:t xml:space="preserve"> 电</w:t>
      </w:r>
      <w:r>
        <w:rPr>
          <w:rFonts w:hint="eastAsia" w:ascii="仿宋" w:hAnsi="仿宋" w:eastAsia="仿宋" w:cs="仿宋"/>
          <w:szCs w:val="28"/>
        </w:rPr>
        <w:t>× EF</w:t>
      </w:r>
      <w:r>
        <w:rPr>
          <w:rFonts w:hint="eastAsia" w:ascii="仿宋" w:hAnsi="仿宋" w:eastAsia="仿宋" w:cs="仿宋"/>
          <w:color w:val="333333"/>
          <w:szCs w:val="28"/>
          <w:shd w:val="clear" w:color="auto" w:fill="FFFFFF"/>
          <w:vertAlign w:val="subscript"/>
        </w:rPr>
        <w:t xml:space="preserve"> 电</w:t>
      </w:r>
      <w:r>
        <w:rPr>
          <w:rFonts w:hint="eastAsia" w:ascii="仿宋" w:hAnsi="仿宋" w:eastAsia="仿宋" w:cs="仿宋"/>
          <w:szCs w:val="28"/>
          <w:vertAlign w:val="superscript"/>
        </w:rPr>
        <w:t xml:space="preserve"> </w:t>
      </w:r>
      <w:r>
        <w:rPr>
          <w:rFonts w:hint="eastAsia" w:ascii="仿宋" w:hAnsi="仿宋" w:eastAsia="仿宋" w:cs="仿宋"/>
        </w:rPr>
        <w:t>―――――――――――――――――公式8</w:t>
      </w:r>
    </w:p>
    <w:p w14:paraId="7D14AB27">
      <w:pPr>
        <w:rPr>
          <w:rFonts w:hint="eastAsia" w:ascii="仿宋" w:hAnsi="仿宋" w:eastAsia="仿宋" w:cs="仿宋"/>
        </w:rPr>
      </w:pPr>
      <w:r>
        <w:rPr>
          <w:rFonts w:hint="eastAsia" w:ascii="仿宋" w:hAnsi="仿宋" w:eastAsia="仿宋" w:cs="仿宋"/>
          <w:szCs w:val="28"/>
        </w:rPr>
        <w:t>E</w:t>
      </w:r>
      <w:r>
        <w:rPr>
          <w:rFonts w:hint="eastAsia" w:ascii="仿宋" w:hAnsi="仿宋" w:eastAsia="仿宋" w:cs="仿宋"/>
          <w:szCs w:val="28"/>
          <w:vertAlign w:val="subscript"/>
        </w:rPr>
        <w:t>热</w:t>
      </w:r>
      <w:r>
        <w:rPr>
          <w:rFonts w:hint="eastAsia" w:ascii="仿宋" w:hAnsi="仿宋" w:eastAsia="仿宋" w:cs="仿宋"/>
          <w:szCs w:val="28"/>
        </w:rPr>
        <w:t>=AD</w:t>
      </w:r>
      <w:r>
        <w:rPr>
          <w:rFonts w:hint="eastAsia" w:ascii="仿宋" w:hAnsi="仿宋" w:eastAsia="仿宋" w:cs="仿宋"/>
          <w:color w:val="333333"/>
          <w:szCs w:val="28"/>
          <w:shd w:val="clear" w:color="auto" w:fill="FFFFFF"/>
          <w:vertAlign w:val="subscript"/>
        </w:rPr>
        <w:t xml:space="preserve"> 热</w:t>
      </w:r>
      <w:r>
        <w:rPr>
          <w:rFonts w:hint="eastAsia" w:ascii="仿宋" w:hAnsi="仿宋" w:eastAsia="仿宋" w:cs="仿宋"/>
          <w:szCs w:val="28"/>
        </w:rPr>
        <w:t>× EF</w:t>
      </w:r>
      <w:r>
        <w:rPr>
          <w:rFonts w:hint="eastAsia" w:ascii="仿宋" w:hAnsi="仿宋" w:eastAsia="仿宋" w:cs="仿宋"/>
          <w:color w:val="333333"/>
          <w:szCs w:val="28"/>
          <w:shd w:val="clear" w:color="auto" w:fill="FFFFFF"/>
          <w:vertAlign w:val="subscript"/>
        </w:rPr>
        <w:t xml:space="preserve"> 热</w:t>
      </w:r>
      <w:r>
        <w:rPr>
          <w:rFonts w:hint="eastAsia" w:ascii="仿宋" w:hAnsi="仿宋" w:eastAsia="仿宋" w:cs="仿宋"/>
          <w:szCs w:val="28"/>
          <w:vertAlign w:val="superscript"/>
        </w:rPr>
        <w:t xml:space="preserve"> </w:t>
      </w:r>
      <w:r>
        <w:rPr>
          <w:rFonts w:hint="eastAsia" w:ascii="仿宋" w:hAnsi="仿宋" w:eastAsia="仿宋" w:cs="仿宋"/>
        </w:rPr>
        <w:t>―――――――――――――――――公式9</w:t>
      </w:r>
    </w:p>
    <w:p w14:paraId="41FB29EA">
      <w:pPr>
        <w:rPr>
          <w:rFonts w:hint="eastAsia" w:ascii="仿宋" w:hAnsi="仿宋" w:eastAsia="仿宋" w:cs="仿宋"/>
        </w:rPr>
      </w:pPr>
      <w:r>
        <w:rPr>
          <w:rFonts w:hint="eastAsia" w:ascii="仿宋" w:hAnsi="仿宋" w:eastAsia="仿宋" w:cs="仿宋"/>
        </w:rPr>
        <w:t>其中：</w:t>
      </w:r>
    </w:p>
    <w:tbl>
      <w:tblPr>
        <w:tblStyle w:val="27"/>
        <w:tblW w:w="5000" w:type="pct"/>
        <w:tblInd w:w="0" w:type="dxa"/>
        <w:tblLayout w:type="autofit"/>
        <w:tblCellMar>
          <w:top w:w="0" w:type="dxa"/>
          <w:left w:w="108" w:type="dxa"/>
          <w:bottom w:w="0" w:type="dxa"/>
          <w:right w:w="108" w:type="dxa"/>
        </w:tblCellMar>
      </w:tblPr>
      <w:tblGrid>
        <w:gridCol w:w="1460"/>
        <w:gridCol w:w="698"/>
        <w:gridCol w:w="6364"/>
      </w:tblGrid>
      <w:tr w14:paraId="15085057">
        <w:tblPrEx>
          <w:tblCellMar>
            <w:top w:w="0" w:type="dxa"/>
            <w:left w:w="108" w:type="dxa"/>
            <w:bottom w:w="0" w:type="dxa"/>
            <w:right w:w="108" w:type="dxa"/>
          </w:tblCellMar>
        </w:tblPrEx>
        <w:tc>
          <w:tcPr>
            <w:tcW w:w="895" w:type="pct"/>
          </w:tcPr>
          <w:p w14:paraId="5C4A0EC4">
            <w:pPr>
              <w:spacing w:line="240" w:lineRule="auto"/>
              <w:ind w:firstLine="610" w:firstLineChars="218"/>
              <w:jc w:val="left"/>
              <w:rPr>
                <w:rFonts w:hint="eastAsia" w:ascii="仿宋" w:hAnsi="仿宋" w:eastAsia="仿宋" w:cs="仿宋"/>
                <w:szCs w:val="28"/>
              </w:rPr>
            </w:pPr>
            <w:r>
              <w:rPr>
                <w:rFonts w:hint="eastAsia" w:ascii="仿宋" w:hAnsi="仿宋" w:eastAsia="仿宋" w:cs="仿宋"/>
                <w:szCs w:val="28"/>
              </w:rPr>
              <w:t>E</w:t>
            </w:r>
            <w:r>
              <w:rPr>
                <w:rFonts w:hint="eastAsia" w:ascii="仿宋" w:hAnsi="仿宋" w:eastAsia="仿宋" w:cs="仿宋"/>
                <w:color w:val="333333"/>
                <w:szCs w:val="28"/>
                <w:shd w:val="clear" w:color="auto" w:fill="FFFFFF"/>
                <w:vertAlign w:val="subscript"/>
              </w:rPr>
              <w:t xml:space="preserve"> 电</w:t>
            </w:r>
          </w:p>
        </w:tc>
        <w:tc>
          <w:tcPr>
            <w:tcW w:w="333" w:type="pct"/>
          </w:tcPr>
          <w:p w14:paraId="4852DA98">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772" w:type="pct"/>
          </w:tcPr>
          <w:p w14:paraId="344C1064">
            <w:pPr>
              <w:spacing w:line="240" w:lineRule="auto"/>
              <w:ind w:firstLine="201" w:firstLineChars="72"/>
              <w:rPr>
                <w:rFonts w:hint="eastAsia" w:ascii="仿宋" w:hAnsi="仿宋" w:eastAsia="仿宋" w:cs="仿宋"/>
                <w:szCs w:val="28"/>
              </w:rPr>
            </w:pPr>
            <w:r>
              <w:rPr>
                <w:rFonts w:hint="eastAsia" w:ascii="仿宋" w:hAnsi="仿宋" w:eastAsia="仿宋" w:cs="仿宋"/>
                <w:szCs w:val="28"/>
              </w:rPr>
              <w:t>净购入的电力隐含的 CO</w:t>
            </w:r>
            <w:r>
              <w:rPr>
                <w:rFonts w:hint="eastAsia" w:ascii="仿宋" w:hAnsi="仿宋" w:eastAsia="仿宋" w:cs="仿宋"/>
                <w:szCs w:val="28"/>
                <w:vertAlign w:val="subscript"/>
              </w:rPr>
              <w:t>2</w:t>
            </w:r>
            <w:r>
              <w:rPr>
                <w:rFonts w:hint="eastAsia" w:ascii="仿宋" w:hAnsi="仿宋" w:eastAsia="仿宋" w:cs="仿宋"/>
                <w:szCs w:val="28"/>
              </w:rPr>
              <w:t>排放，单位为吨 CO</w:t>
            </w:r>
            <w:r>
              <w:rPr>
                <w:rFonts w:hint="eastAsia" w:ascii="仿宋" w:hAnsi="仿宋" w:eastAsia="仿宋" w:cs="仿宋"/>
                <w:szCs w:val="28"/>
                <w:vertAlign w:val="subscript"/>
              </w:rPr>
              <w:t>2</w:t>
            </w:r>
            <w:r>
              <w:rPr>
                <w:rFonts w:hint="eastAsia" w:ascii="仿宋" w:hAnsi="仿宋" w:eastAsia="仿宋" w:cs="仿宋"/>
                <w:szCs w:val="28"/>
              </w:rPr>
              <w:t>；</w:t>
            </w:r>
          </w:p>
        </w:tc>
      </w:tr>
      <w:tr w14:paraId="02B639A5">
        <w:tblPrEx>
          <w:tblCellMar>
            <w:top w:w="0" w:type="dxa"/>
            <w:left w:w="108" w:type="dxa"/>
            <w:bottom w:w="0" w:type="dxa"/>
            <w:right w:w="108" w:type="dxa"/>
          </w:tblCellMar>
        </w:tblPrEx>
        <w:tc>
          <w:tcPr>
            <w:tcW w:w="895" w:type="pct"/>
          </w:tcPr>
          <w:p w14:paraId="77A42F14">
            <w:pPr>
              <w:spacing w:line="240" w:lineRule="auto"/>
              <w:ind w:firstLine="618" w:firstLineChars="221"/>
              <w:jc w:val="left"/>
              <w:rPr>
                <w:rFonts w:hint="eastAsia" w:ascii="仿宋" w:hAnsi="仿宋" w:eastAsia="仿宋" w:cs="仿宋"/>
                <w:szCs w:val="28"/>
              </w:rPr>
            </w:pPr>
            <w:r>
              <w:rPr>
                <w:rFonts w:hint="eastAsia" w:ascii="仿宋" w:hAnsi="仿宋" w:eastAsia="仿宋" w:cs="仿宋"/>
                <w:szCs w:val="28"/>
              </w:rPr>
              <w:t>E</w:t>
            </w:r>
            <w:r>
              <w:rPr>
                <w:rFonts w:hint="eastAsia" w:ascii="仿宋" w:hAnsi="仿宋" w:eastAsia="仿宋" w:cs="仿宋"/>
                <w:szCs w:val="28"/>
                <w:vertAlign w:val="subscript"/>
              </w:rPr>
              <w:t>热</w:t>
            </w:r>
          </w:p>
        </w:tc>
        <w:tc>
          <w:tcPr>
            <w:tcW w:w="333" w:type="pct"/>
          </w:tcPr>
          <w:p w14:paraId="54306BF4">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772" w:type="pct"/>
          </w:tcPr>
          <w:p w14:paraId="07D56ABA">
            <w:pPr>
              <w:spacing w:line="240" w:lineRule="auto"/>
              <w:ind w:firstLine="201" w:firstLineChars="72"/>
              <w:rPr>
                <w:rFonts w:hint="eastAsia" w:ascii="仿宋" w:hAnsi="仿宋" w:eastAsia="仿宋" w:cs="仿宋"/>
                <w:szCs w:val="28"/>
              </w:rPr>
            </w:pPr>
            <w:r>
              <w:rPr>
                <w:rFonts w:hint="eastAsia" w:ascii="仿宋" w:hAnsi="仿宋" w:eastAsia="仿宋" w:cs="仿宋"/>
                <w:szCs w:val="28"/>
              </w:rPr>
              <w:t>净购入的热力隐含的 CO</w:t>
            </w:r>
            <w:r>
              <w:rPr>
                <w:rFonts w:hint="eastAsia" w:ascii="仿宋" w:hAnsi="仿宋" w:eastAsia="仿宋" w:cs="仿宋"/>
                <w:szCs w:val="28"/>
                <w:vertAlign w:val="subscript"/>
              </w:rPr>
              <w:t>2</w:t>
            </w:r>
            <w:r>
              <w:rPr>
                <w:rFonts w:hint="eastAsia" w:ascii="仿宋" w:hAnsi="仿宋" w:eastAsia="仿宋" w:cs="仿宋"/>
                <w:szCs w:val="28"/>
              </w:rPr>
              <w:t>排放，单位为吨 CO</w:t>
            </w:r>
            <w:r>
              <w:rPr>
                <w:rFonts w:hint="eastAsia" w:ascii="仿宋" w:hAnsi="仿宋" w:eastAsia="仿宋" w:cs="仿宋"/>
                <w:szCs w:val="28"/>
                <w:vertAlign w:val="subscript"/>
              </w:rPr>
              <w:t>2</w:t>
            </w:r>
            <w:r>
              <w:rPr>
                <w:rFonts w:hint="eastAsia" w:ascii="仿宋" w:hAnsi="仿宋" w:eastAsia="仿宋" w:cs="仿宋"/>
                <w:szCs w:val="28"/>
              </w:rPr>
              <w:t>；</w:t>
            </w:r>
          </w:p>
        </w:tc>
      </w:tr>
      <w:tr w14:paraId="3E09B8F4">
        <w:tblPrEx>
          <w:tblCellMar>
            <w:top w:w="0" w:type="dxa"/>
            <w:left w:w="108" w:type="dxa"/>
            <w:bottom w:w="0" w:type="dxa"/>
            <w:right w:w="108" w:type="dxa"/>
          </w:tblCellMar>
        </w:tblPrEx>
        <w:tc>
          <w:tcPr>
            <w:tcW w:w="895" w:type="pct"/>
          </w:tcPr>
          <w:p w14:paraId="5D5E3566">
            <w:pPr>
              <w:spacing w:line="240" w:lineRule="auto"/>
              <w:ind w:firstLine="610" w:firstLineChars="218"/>
              <w:jc w:val="left"/>
              <w:rPr>
                <w:rFonts w:hint="eastAsia" w:ascii="仿宋" w:hAnsi="仿宋" w:eastAsia="仿宋" w:cs="仿宋"/>
                <w:szCs w:val="28"/>
              </w:rPr>
            </w:pPr>
            <w:r>
              <w:rPr>
                <w:rFonts w:hint="eastAsia" w:ascii="仿宋" w:hAnsi="仿宋" w:eastAsia="仿宋" w:cs="仿宋"/>
                <w:szCs w:val="28"/>
              </w:rPr>
              <w:t>AD</w:t>
            </w:r>
            <w:r>
              <w:rPr>
                <w:rFonts w:hint="eastAsia" w:ascii="仿宋" w:hAnsi="仿宋" w:eastAsia="仿宋" w:cs="仿宋"/>
                <w:color w:val="333333"/>
                <w:szCs w:val="28"/>
                <w:shd w:val="clear" w:color="auto" w:fill="FFFFFF"/>
                <w:vertAlign w:val="subscript"/>
              </w:rPr>
              <w:t xml:space="preserve"> 电</w:t>
            </w:r>
          </w:p>
        </w:tc>
        <w:tc>
          <w:tcPr>
            <w:tcW w:w="333" w:type="pct"/>
          </w:tcPr>
          <w:p w14:paraId="01F6B35D">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772" w:type="pct"/>
          </w:tcPr>
          <w:p w14:paraId="031409AB">
            <w:pPr>
              <w:spacing w:line="240" w:lineRule="auto"/>
              <w:ind w:firstLine="201" w:firstLineChars="72"/>
              <w:rPr>
                <w:rFonts w:hint="eastAsia" w:ascii="仿宋" w:hAnsi="仿宋" w:eastAsia="仿宋" w:cs="仿宋"/>
                <w:szCs w:val="28"/>
              </w:rPr>
            </w:pPr>
            <w:r>
              <w:rPr>
                <w:rFonts w:hint="eastAsia" w:ascii="仿宋" w:hAnsi="仿宋" w:eastAsia="仿宋" w:cs="仿宋"/>
                <w:szCs w:val="28"/>
              </w:rPr>
              <w:t>企业的净购入使用电量，单位为MWh；</w:t>
            </w:r>
          </w:p>
        </w:tc>
      </w:tr>
      <w:tr w14:paraId="31D08463">
        <w:tblPrEx>
          <w:tblCellMar>
            <w:top w:w="0" w:type="dxa"/>
            <w:left w:w="108" w:type="dxa"/>
            <w:bottom w:w="0" w:type="dxa"/>
            <w:right w:w="108" w:type="dxa"/>
          </w:tblCellMar>
        </w:tblPrEx>
        <w:tc>
          <w:tcPr>
            <w:tcW w:w="895" w:type="pct"/>
          </w:tcPr>
          <w:p w14:paraId="1FC10770">
            <w:pPr>
              <w:spacing w:line="240" w:lineRule="auto"/>
              <w:ind w:firstLine="618" w:firstLineChars="221"/>
              <w:jc w:val="left"/>
              <w:rPr>
                <w:rFonts w:hint="eastAsia" w:ascii="仿宋" w:hAnsi="仿宋" w:eastAsia="仿宋" w:cs="仿宋"/>
                <w:szCs w:val="28"/>
              </w:rPr>
            </w:pPr>
            <w:r>
              <w:rPr>
                <w:rFonts w:hint="eastAsia" w:ascii="仿宋" w:hAnsi="仿宋" w:eastAsia="仿宋" w:cs="仿宋"/>
                <w:szCs w:val="28"/>
              </w:rPr>
              <w:t>EF</w:t>
            </w:r>
            <w:r>
              <w:rPr>
                <w:rFonts w:hint="eastAsia" w:ascii="仿宋" w:hAnsi="仿宋" w:eastAsia="仿宋" w:cs="仿宋"/>
                <w:color w:val="333333"/>
                <w:szCs w:val="28"/>
                <w:shd w:val="clear" w:color="auto" w:fill="FFFFFF"/>
                <w:vertAlign w:val="subscript"/>
              </w:rPr>
              <w:t xml:space="preserve"> 电</w:t>
            </w:r>
          </w:p>
        </w:tc>
        <w:tc>
          <w:tcPr>
            <w:tcW w:w="333" w:type="pct"/>
          </w:tcPr>
          <w:p w14:paraId="7617AED9">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772" w:type="pct"/>
          </w:tcPr>
          <w:p w14:paraId="7D26C3E0">
            <w:pPr>
              <w:spacing w:line="240" w:lineRule="auto"/>
              <w:ind w:firstLine="201" w:firstLineChars="72"/>
              <w:rPr>
                <w:rFonts w:hint="eastAsia" w:ascii="仿宋" w:hAnsi="仿宋" w:eastAsia="仿宋" w:cs="仿宋"/>
                <w:szCs w:val="28"/>
              </w:rPr>
            </w:pPr>
            <w:r>
              <w:rPr>
                <w:rFonts w:hint="eastAsia" w:ascii="仿宋" w:hAnsi="仿宋" w:eastAsia="仿宋" w:cs="仿宋"/>
                <w:szCs w:val="28"/>
              </w:rPr>
              <w:t>电力供应的CO</w:t>
            </w:r>
            <w:r>
              <w:rPr>
                <w:rFonts w:hint="eastAsia" w:ascii="仿宋" w:hAnsi="仿宋" w:eastAsia="仿宋" w:cs="仿宋"/>
                <w:szCs w:val="28"/>
                <w:vertAlign w:val="subscript"/>
              </w:rPr>
              <w:t>2</w:t>
            </w:r>
            <w:r>
              <w:rPr>
                <w:rFonts w:hint="eastAsia" w:ascii="仿宋" w:hAnsi="仿宋" w:eastAsia="仿宋" w:cs="仿宋"/>
                <w:szCs w:val="28"/>
              </w:rPr>
              <w:t>排放因子，单位为tCO</w:t>
            </w:r>
            <w:r>
              <w:rPr>
                <w:rFonts w:hint="eastAsia" w:ascii="仿宋" w:hAnsi="仿宋" w:eastAsia="仿宋" w:cs="仿宋"/>
                <w:szCs w:val="28"/>
                <w:vertAlign w:val="subscript"/>
              </w:rPr>
              <w:t>2</w:t>
            </w:r>
            <w:r>
              <w:rPr>
                <w:rFonts w:hint="eastAsia" w:ascii="仿宋" w:hAnsi="仿宋" w:eastAsia="仿宋" w:cs="仿宋"/>
                <w:szCs w:val="28"/>
              </w:rPr>
              <w:t>/MWh；</w:t>
            </w:r>
          </w:p>
        </w:tc>
      </w:tr>
      <w:tr w14:paraId="2B5F09D8">
        <w:tblPrEx>
          <w:tblCellMar>
            <w:top w:w="0" w:type="dxa"/>
            <w:left w:w="108" w:type="dxa"/>
            <w:bottom w:w="0" w:type="dxa"/>
            <w:right w:w="108" w:type="dxa"/>
          </w:tblCellMar>
        </w:tblPrEx>
        <w:tc>
          <w:tcPr>
            <w:tcW w:w="895" w:type="pct"/>
          </w:tcPr>
          <w:p w14:paraId="25AF81EC">
            <w:pPr>
              <w:spacing w:line="240" w:lineRule="auto"/>
              <w:ind w:firstLine="610" w:firstLineChars="218"/>
              <w:jc w:val="left"/>
              <w:rPr>
                <w:rFonts w:hint="eastAsia" w:ascii="仿宋" w:hAnsi="仿宋" w:eastAsia="仿宋" w:cs="仿宋"/>
                <w:szCs w:val="28"/>
              </w:rPr>
            </w:pPr>
            <w:r>
              <w:rPr>
                <w:rFonts w:hint="eastAsia" w:ascii="仿宋" w:hAnsi="仿宋" w:eastAsia="仿宋" w:cs="仿宋"/>
                <w:szCs w:val="28"/>
              </w:rPr>
              <w:t>AD</w:t>
            </w:r>
            <w:r>
              <w:rPr>
                <w:rFonts w:hint="eastAsia" w:ascii="仿宋" w:hAnsi="仿宋" w:eastAsia="仿宋" w:cs="仿宋"/>
                <w:color w:val="333333"/>
                <w:szCs w:val="28"/>
                <w:shd w:val="clear" w:color="auto" w:fill="FFFFFF"/>
                <w:vertAlign w:val="subscript"/>
              </w:rPr>
              <w:t xml:space="preserve"> 热</w:t>
            </w:r>
          </w:p>
        </w:tc>
        <w:tc>
          <w:tcPr>
            <w:tcW w:w="333" w:type="pct"/>
          </w:tcPr>
          <w:p w14:paraId="056D29F4">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772" w:type="pct"/>
          </w:tcPr>
          <w:p w14:paraId="0E4132F8">
            <w:pPr>
              <w:spacing w:line="240" w:lineRule="auto"/>
              <w:ind w:firstLine="201" w:firstLineChars="72"/>
              <w:rPr>
                <w:rFonts w:hint="eastAsia" w:ascii="仿宋" w:hAnsi="仿宋" w:eastAsia="仿宋" w:cs="仿宋"/>
                <w:szCs w:val="28"/>
              </w:rPr>
            </w:pPr>
            <w:r>
              <w:rPr>
                <w:rFonts w:hint="eastAsia" w:ascii="仿宋" w:hAnsi="仿宋" w:eastAsia="仿宋" w:cs="仿宋"/>
                <w:szCs w:val="28"/>
              </w:rPr>
              <w:t>企业的净购入使用热量，单位为GJ；</w:t>
            </w:r>
          </w:p>
        </w:tc>
      </w:tr>
      <w:tr w14:paraId="5E692770">
        <w:tblPrEx>
          <w:tblCellMar>
            <w:top w:w="0" w:type="dxa"/>
            <w:left w:w="108" w:type="dxa"/>
            <w:bottom w:w="0" w:type="dxa"/>
            <w:right w:w="108" w:type="dxa"/>
          </w:tblCellMar>
        </w:tblPrEx>
        <w:tc>
          <w:tcPr>
            <w:tcW w:w="895" w:type="pct"/>
          </w:tcPr>
          <w:p w14:paraId="6634C42F">
            <w:pPr>
              <w:spacing w:line="240" w:lineRule="auto"/>
              <w:ind w:firstLine="618" w:firstLineChars="221"/>
              <w:jc w:val="left"/>
              <w:rPr>
                <w:rFonts w:hint="eastAsia" w:ascii="仿宋" w:hAnsi="仿宋" w:eastAsia="仿宋" w:cs="仿宋"/>
                <w:szCs w:val="28"/>
              </w:rPr>
            </w:pPr>
            <w:r>
              <w:rPr>
                <w:rFonts w:hint="eastAsia" w:ascii="仿宋" w:hAnsi="仿宋" w:eastAsia="仿宋" w:cs="仿宋"/>
                <w:szCs w:val="28"/>
              </w:rPr>
              <w:t>EF</w:t>
            </w:r>
            <w:r>
              <w:rPr>
                <w:rFonts w:hint="eastAsia" w:ascii="仿宋" w:hAnsi="仿宋" w:eastAsia="仿宋" w:cs="仿宋"/>
                <w:color w:val="333333"/>
                <w:szCs w:val="28"/>
                <w:shd w:val="clear" w:color="auto" w:fill="FFFFFF"/>
                <w:vertAlign w:val="subscript"/>
              </w:rPr>
              <w:t xml:space="preserve"> 热</w:t>
            </w:r>
          </w:p>
        </w:tc>
        <w:tc>
          <w:tcPr>
            <w:tcW w:w="333" w:type="pct"/>
          </w:tcPr>
          <w:p w14:paraId="2DB81810">
            <w:pPr>
              <w:spacing w:line="240" w:lineRule="auto"/>
              <w:ind w:firstLine="201" w:firstLineChars="72"/>
              <w:rPr>
                <w:rFonts w:hint="eastAsia" w:ascii="仿宋" w:hAnsi="仿宋" w:eastAsia="仿宋" w:cs="仿宋"/>
                <w:szCs w:val="28"/>
              </w:rPr>
            </w:pPr>
            <w:r>
              <w:rPr>
                <w:rFonts w:hint="eastAsia" w:ascii="仿宋" w:hAnsi="仿宋" w:eastAsia="仿宋" w:cs="仿宋"/>
                <w:szCs w:val="28"/>
              </w:rPr>
              <w:t>—</w:t>
            </w:r>
          </w:p>
        </w:tc>
        <w:tc>
          <w:tcPr>
            <w:tcW w:w="3772" w:type="pct"/>
          </w:tcPr>
          <w:p w14:paraId="44F8B3AF">
            <w:pPr>
              <w:spacing w:line="240" w:lineRule="auto"/>
              <w:ind w:firstLine="201" w:firstLineChars="72"/>
              <w:rPr>
                <w:rFonts w:hint="eastAsia" w:ascii="仿宋" w:hAnsi="仿宋" w:eastAsia="仿宋" w:cs="仿宋"/>
                <w:szCs w:val="28"/>
              </w:rPr>
            </w:pPr>
            <w:r>
              <w:rPr>
                <w:rFonts w:hint="eastAsia" w:ascii="仿宋" w:hAnsi="仿宋" w:eastAsia="仿宋" w:cs="仿宋"/>
                <w:szCs w:val="28"/>
              </w:rPr>
              <w:t>热力供应的CO</w:t>
            </w:r>
            <w:r>
              <w:rPr>
                <w:rFonts w:hint="eastAsia" w:ascii="仿宋" w:hAnsi="仿宋" w:eastAsia="仿宋" w:cs="仿宋"/>
                <w:szCs w:val="28"/>
                <w:vertAlign w:val="subscript"/>
              </w:rPr>
              <w:t>2</w:t>
            </w:r>
            <w:r>
              <w:rPr>
                <w:rFonts w:hint="eastAsia" w:ascii="仿宋" w:hAnsi="仿宋" w:eastAsia="仿宋" w:cs="仿宋"/>
                <w:szCs w:val="28"/>
              </w:rPr>
              <w:t>排放因子，单位为tCO</w:t>
            </w:r>
            <w:r>
              <w:rPr>
                <w:rFonts w:hint="eastAsia" w:ascii="仿宋" w:hAnsi="仿宋" w:eastAsia="仿宋" w:cs="仿宋"/>
                <w:szCs w:val="28"/>
                <w:vertAlign w:val="subscript"/>
              </w:rPr>
              <w:t>2</w:t>
            </w:r>
            <w:r>
              <w:rPr>
                <w:rFonts w:hint="eastAsia" w:ascii="仿宋" w:hAnsi="仿宋" w:eastAsia="仿宋" w:cs="仿宋"/>
                <w:szCs w:val="28"/>
              </w:rPr>
              <w:t>/GJ；</w:t>
            </w:r>
          </w:p>
        </w:tc>
      </w:tr>
      <w:bookmarkEnd w:id="244"/>
      <w:bookmarkEnd w:id="245"/>
      <w:bookmarkEnd w:id="267"/>
      <w:bookmarkEnd w:id="268"/>
      <w:bookmarkEnd w:id="269"/>
      <w:bookmarkEnd w:id="270"/>
      <w:bookmarkEnd w:id="271"/>
      <w:bookmarkEnd w:id="272"/>
      <w:bookmarkEnd w:id="273"/>
      <w:bookmarkEnd w:id="274"/>
    </w:tbl>
    <w:p w14:paraId="73D24F9B">
      <w:pPr>
        <w:pStyle w:val="3"/>
        <w:spacing w:beforeLines="50" w:afterLines="50"/>
        <w:rPr>
          <w:rFonts w:hint="eastAsia" w:ascii="仿宋" w:hAnsi="仿宋" w:eastAsia="仿宋" w:cs="仿宋"/>
          <w:sz w:val="28"/>
          <w:szCs w:val="28"/>
        </w:rPr>
      </w:pPr>
      <w:bookmarkStart w:id="277" w:name="_Toc7722"/>
      <w:bookmarkStart w:id="278" w:name="_Toc21122"/>
      <w:bookmarkStart w:id="279" w:name="_Toc7838"/>
      <w:bookmarkStart w:id="280" w:name="_Toc503300125"/>
      <w:bookmarkStart w:id="281" w:name="_Toc20014"/>
      <w:bookmarkStart w:id="282" w:name="_Toc4413_WPSOffice_Level2"/>
      <w:bookmarkStart w:id="283" w:name="_Toc444197200"/>
      <w:bookmarkStart w:id="284" w:name="_Toc19971"/>
      <w:bookmarkStart w:id="285" w:name="_Toc7914"/>
      <w:bookmarkStart w:id="286" w:name="_Toc444196309"/>
      <w:bookmarkStart w:id="287" w:name="_Toc13330"/>
      <w:bookmarkStart w:id="288" w:name="_Toc24155"/>
      <w:bookmarkStart w:id="289" w:name="_Toc24407"/>
      <w:r>
        <w:rPr>
          <w:rFonts w:hint="eastAsia" w:ascii="仿宋" w:hAnsi="仿宋" w:eastAsia="仿宋" w:cs="仿宋"/>
          <w:sz w:val="28"/>
          <w:szCs w:val="28"/>
        </w:rPr>
        <w:t>3.4 核算数据的核查</w:t>
      </w:r>
      <w:bookmarkEnd w:id="277"/>
      <w:bookmarkEnd w:id="278"/>
      <w:bookmarkEnd w:id="279"/>
      <w:bookmarkEnd w:id="280"/>
      <w:bookmarkEnd w:id="281"/>
      <w:bookmarkEnd w:id="282"/>
      <w:bookmarkEnd w:id="283"/>
      <w:bookmarkEnd w:id="284"/>
      <w:bookmarkEnd w:id="285"/>
      <w:bookmarkEnd w:id="286"/>
      <w:bookmarkEnd w:id="287"/>
      <w:bookmarkEnd w:id="288"/>
      <w:bookmarkEnd w:id="289"/>
    </w:p>
    <w:p w14:paraId="3878E693">
      <w:pPr>
        <w:rPr>
          <w:rFonts w:hint="eastAsia" w:ascii="仿宋" w:hAnsi="仿宋" w:eastAsia="仿宋" w:cs="仿宋"/>
          <w:szCs w:val="28"/>
        </w:rPr>
      </w:pPr>
      <w:bookmarkStart w:id="290" w:name="_Toc450647097"/>
      <w:bookmarkStart w:id="291" w:name="_Toc447101544"/>
      <w:bookmarkStart w:id="292" w:name="_Toc444197201"/>
      <w:bookmarkStart w:id="293" w:name="_Toc444196310"/>
      <w:r>
        <w:rPr>
          <w:rFonts w:hint="eastAsia" w:ascii="仿宋" w:hAnsi="仿宋" w:eastAsia="仿宋" w:cs="仿宋"/>
          <w:szCs w:val="28"/>
        </w:rPr>
        <w:t>受核查方所涉及的活动水平数据、排放因子/计算系数如下表所示：</w:t>
      </w:r>
      <w:bookmarkEnd w:id="290"/>
      <w:bookmarkEnd w:id="291"/>
    </w:p>
    <w:p w14:paraId="241D007F">
      <w:pPr>
        <w:spacing w:line="240" w:lineRule="auto"/>
        <w:ind w:firstLine="0" w:firstLineChars="0"/>
        <w:jc w:val="center"/>
        <w:rPr>
          <w:rFonts w:hint="eastAsia" w:ascii="仿宋" w:hAnsi="仿宋" w:eastAsia="仿宋" w:cs="仿宋"/>
          <w:b/>
          <w:bCs/>
          <w:szCs w:val="28"/>
        </w:rPr>
      </w:pPr>
      <w:bookmarkStart w:id="294" w:name="_Toc11075_WPSOffice_Level3"/>
      <w:bookmarkStart w:id="295" w:name="_Toc17376_WPSOffice_Level3"/>
      <w:bookmarkStart w:id="296" w:name="_Toc7262_WPSOffice_Level3"/>
      <w:bookmarkStart w:id="297" w:name="_Toc16491_WPSOffice_Level3"/>
      <w:r>
        <w:rPr>
          <w:rFonts w:hint="eastAsia" w:ascii="仿宋" w:hAnsi="仿宋" w:eastAsia="仿宋" w:cs="仿宋"/>
          <w:b/>
          <w:bCs/>
          <w:szCs w:val="28"/>
        </w:rPr>
        <w:t>表3-5 受核查方活动水平数据、排放因子/计算系数清单</w:t>
      </w:r>
      <w:bookmarkEnd w:id="294"/>
      <w:bookmarkEnd w:id="295"/>
      <w:bookmarkEnd w:id="296"/>
      <w:bookmarkEnd w:id="297"/>
    </w:p>
    <w:tbl>
      <w:tblPr>
        <w:tblStyle w:val="27"/>
        <w:tblW w:w="8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7"/>
        <w:gridCol w:w="2552"/>
        <w:gridCol w:w="2927"/>
      </w:tblGrid>
      <w:tr w14:paraId="38F87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27" w:type="dxa"/>
            <w:shd w:val="clear" w:color="auto" w:fill="FFFFFF"/>
            <w:vAlign w:val="center"/>
          </w:tcPr>
          <w:p w14:paraId="71584028">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排放类型</w:t>
            </w:r>
          </w:p>
        </w:tc>
        <w:tc>
          <w:tcPr>
            <w:tcW w:w="2552" w:type="dxa"/>
            <w:shd w:val="clear" w:color="auto" w:fill="FFFFFF"/>
            <w:vAlign w:val="center"/>
          </w:tcPr>
          <w:p w14:paraId="2182AA65">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活动水平数据</w:t>
            </w:r>
          </w:p>
        </w:tc>
        <w:tc>
          <w:tcPr>
            <w:tcW w:w="2927" w:type="dxa"/>
            <w:shd w:val="clear" w:color="auto" w:fill="FFFFFF"/>
            <w:vAlign w:val="center"/>
          </w:tcPr>
          <w:p w14:paraId="00B91A24">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排放因子/计算系数</w:t>
            </w:r>
          </w:p>
        </w:tc>
      </w:tr>
      <w:tr w14:paraId="522FC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27" w:type="dxa"/>
            <w:vAlign w:val="center"/>
          </w:tcPr>
          <w:p w14:paraId="7A85D2D5">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净购入使用电力产生的排放</w:t>
            </w:r>
          </w:p>
        </w:tc>
        <w:tc>
          <w:tcPr>
            <w:tcW w:w="2552" w:type="dxa"/>
            <w:vAlign w:val="center"/>
          </w:tcPr>
          <w:p w14:paraId="259986A9">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外购电力</w:t>
            </w:r>
          </w:p>
        </w:tc>
        <w:tc>
          <w:tcPr>
            <w:tcW w:w="2927" w:type="dxa"/>
            <w:vAlign w:val="center"/>
          </w:tcPr>
          <w:p w14:paraId="1A83AF3F">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外购电力排放因子</w:t>
            </w:r>
          </w:p>
        </w:tc>
      </w:tr>
      <w:tr w14:paraId="1CCDC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27" w:type="dxa"/>
            <w:vAlign w:val="center"/>
          </w:tcPr>
          <w:p w14:paraId="1B7A9EB5">
            <w:pPr>
              <w:spacing w:line="240" w:lineRule="auto"/>
              <w:ind w:firstLine="0" w:firstLineChars="0"/>
              <w:jc w:val="center"/>
              <w:rPr>
                <w:rFonts w:hint="eastAsia" w:ascii="仿宋" w:hAnsi="仿宋" w:eastAsia="仿宋" w:cs="仿宋"/>
                <w:sz w:val="24"/>
                <w:szCs w:val="24"/>
                <w:highlight w:val="yellow"/>
              </w:rPr>
            </w:pPr>
            <w:bookmarkStart w:id="298" w:name="_Toc11151"/>
            <w:bookmarkStart w:id="299" w:name="_Toc32189"/>
            <w:bookmarkStart w:id="300" w:name="_Toc24242"/>
            <w:bookmarkStart w:id="301" w:name="_Toc29803"/>
            <w:bookmarkStart w:id="302" w:name="_Toc10978_WPSOffice_Level3"/>
            <w:bookmarkStart w:id="303" w:name="_Toc503300126"/>
            <w:r>
              <w:rPr>
                <w:rFonts w:hint="eastAsia" w:ascii="仿宋" w:hAnsi="仿宋" w:eastAsia="仿宋" w:cs="仿宋"/>
                <w:sz w:val="24"/>
                <w:szCs w:val="24"/>
              </w:rPr>
              <w:t>净购入使用</w:t>
            </w:r>
            <w:r>
              <w:rPr>
                <w:rFonts w:hint="eastAsia" w:ascii="仿宋" w:hAnsi="仿宋" w:eastAsia="仿宋" w:cs="仿宋"/>
                <w:sz w:val="24"/>
                <w:szCs w:val="24"/>
                <w:lang w:val="en-US" w:eastAsia="zh-CN"/>
              </w:rPr>
              <w:t>热</w:t>
            </w:r>
            <w:r>
              <w:rPr>
                <w:rFonts w:hint="eastAsia" w:ascii="仿宋" w:hAnsi="仿宋" w:eastAsia="仿宋" w:cs="仿宋"/>
                <w:sz w:val="24"/>
                <w:szCs w:val="24"/>
              </w:rPr>
              <w:t>力产生的排放</w:t>
            </w:r>
          </w:p>
        </w:tc>
        <w:tc>
          <w:tcPr>
            <w:tcW w:w="2552" w:type="dxa"/>
            <w:vAlign w:val="center"/>
          </w:tcPr>
          <w:p w14:paraId="7A597AB3">
            <w:pPr>
              <w:spacing w:line="240" w:lineRule="auto"/>
              <w:ind w:firstLine="0" w:firstLineChars="0"/>
              <w:jc w:val="center"/>
              <w:rPr>
                <w:rFonts w:hint="default" w:ascii="仿宋" w:hAnsi="仿宋" w:eastAsia="仿宋" w:cs="仿宋"/>
                <w:sz w:val="24"/>
                <w:szCs w:val="24"/>
                <w:highlight w:val="yellow"/>
                <w:lang w:val="en-US" w:eastAsia="zh-CN"/>
              </w:rPr>
            </w:pPr>
            <w:r>
              <w:rPr>
                <w:rFonts w:hint="eastAsia" w:ascii="仿宋" w:hAnsi="仿宋" w:eastAsia="仿宋" w:cs="仿宋"/>
                <w:sz w:val="24"/>
                <w:szCs w:val="24"/>
                <w:highlight w:val="none"/>
                <w:lang w:val="en-US" w:eastAsia="zh-CN"/>
              </w:rPr>
              <w:t>外购热力</w:t>
            </w:r>
          </w:p>
        </w:tc>
        <w:tc>
          <w:tcPr>
            <w:tcW w:w="2927" w:type="dxa"/>
            <w:vAlign w:val="center"/>
          </w:tcPr>
          <w:p w14:paraId="5C8BCBD8">
            <w:pPr>
              <w:spacing w:line="240" w:lineRule="auto"/>
              <w:ind w:firstLine="0" w:firstLineChars="0"/>
              <w:jc w:val="center"/>
              <w:rPr>
                <w:rFonts w:hint="eastAsia" w:ascii="仿宋" w:hAnsi="仿宋" w:eastAsia="仿宋" w:cs="仿宋"/>
                <w:sz w:val="24"/>
                <w:szCs w:val="24"/>
                <w:highlight w:val="yellow"/>
              </w:rPr>
            </w:pPr>
            <w:r>
              <w:rPr>
                <w:rFonts w:hint="eastAsia" w:ascii="仿宋" w:hAnsi="仿宋" w:eastAsia="仿宋" w:cs="仿宋"/>
                <w:sz w:val="24"/>
                <w:szCs w:val="24"/>
              </w:rPr>
              <w:t>外购</w:t>
            </w:r>
            <w:r>
              <w:rPr>
                <w:rFonts w:hint="eastAsia" w:ascii="仿宋" w:hAnsi="仿宋" w:eastAsia="仿宋" w:cs="仿宋"/>
                <w:sz w:val="24"/>
                <w:szCs w:val="24"/>
                <w:lang w:val="en-US" w:eastAsia="zh-CN"/>
              </w:rPr>
              <w:t>热</w:t>
            </w:r>
            <w:r>
              <w:rPr>
                <w:rFonts w:hint="eastAsia" w:ascii="仿宋" w:hAnsi="仿宋" w:eastAsia="仿宋" w:cs="仿宋"/>
                <w:sz w:val="24"/>
                <w:szCs w:val="24"/>
              </w:rPr>
              <w:t>力排放因子</w:t>
            </w:r>
          </w:p>
        </w:tc>
      </w:tr>
    </w:tbl>
    <w:p w14:paraId="6A7DF4A4">
      <w:pPr>
        <w:pStyle w:val="4"/>
        <w:spacing w:beforeLines="50" w:afterLines="50"/>
        <w:rPr>
          <w:rFonts w:hint="eastAsia" w:ascii="仿宋" w:hAnsi="仿宋" w:eastAsia="仿宋" w:cs="仿宋"/>
          <w:szCs w:val="28"/>
        </w:rPr>
      </w:pPr>
      <w:bookmarkStart w:id="304" w:name="_Toc13355"/>
      <w:r>
        <w:rPr>
          <w:rFonts w:hint="eastAsia" w:ascii="仿宋" w:hAnsi="仿宋" w:eastAsia="仿宋" w:cs="仿宋"/>
          <w:szCs w:val="28"/>
        </w:rPr>
        <w:t>3.4.1 活动水平数据及来源的核查</w:t>
      </w:r>
      <w:bookmarkEnd w:id="292"/>
      <w:bookmarkEnd w:id="293"/>
      <w:bookmarkEnd w:id="298"/>
      <w:bookmarkEnd w:id="299"/>
      <w:bookmarkEnd w:id="300"/>
      <w:bookmarkEnd w:id="301"/>
      <w:bookmarkEnd w:id="302"/>
      <w:bookmarkEnd w:id="303"/>
      <w:bookmarkEnd w:id="304"/>
    </w:p>
    <w:p w14:paraId="0F7F612C">
      <w:pPr>
        <w:rPr>
          <w:rFonts w:hint="eastAsia" w:ascii="仿宋" w:hAnsi="仿宋" w:eastAsia="仿宋" w:cs="仿宋"/>
          <w:color w:val="FF0000"/>
          <w:szCs w:val="24"/>
        </w:rPr>
      </w:pPr>
      <w:r>
        <w:rPr>
          <w:rFonts w:hint="eastAsia" w:ascii="仿宋" w:hAnsi="仿宋" w:eastAsia="仿宋" w:cs="仿宋"/>
          <w:szCs w:val="24"/>
        </w:rPr>
        <w:t>核查组通过查阅支持性文件及访谈受核查方，对排放报告中的每一个活动水平的数据单位、数据来源、监测方法、监测频次、记录频次、数据缺失处理进行了核查，并对数据进行了交叉核对，详细的核查结果如下：</w:t>
      </w:r>
      <w:r>
        <w:rPr>
          <w:rFonts w:hint="eastAsia" w:ascii="仿宋" w:hAnsi="仿宋" w:eastAsia="仿宋" w:cs="仿宋"/>
          <w:color w:val="FF0000"/>
          <w:szCs w:val="24"/>
        </w:rPr>
        <w:t xml:space="preserve"> </w:t>
      </w:r>
    </w:p>
    <w:p w14:paraId="2488A95B">
      <w:pPr>
        <w:keepNext/>
        <w:widowControl/>
        <w:spacing w:beforeLines="50" w:afterLines="50"/>
        <w:ind w:firstLine="0" w:firstLineChars="0"/>
        <w:jc w:val="left"/>
        <w:outlineLvl w:val="3"/>
        <w:rPr>
          <w:rFonts w:hint="eastAsia" w:ascii="仿宋" w:hAnsi="仿宋" w:eastAsia="仿宋" w:cs="仿宋"/>
          <w:b/>
          <w:snapToGrid/>
          <w:szCs w:val="21"/>
        </w:rPr>
      </w:pPr>
      <w:bookmarkStart w:id="305" w:name="_Toc503300127"/>
      <w:bookmarkStart w:id="306" w:name="_Toc10601_WPSOffice_Level3"/>
      <w:bookmarkStart w:id="307" w:name="_Toc444196311"/>
      <w:bookmarkStart w:id="308" w:name="_Toc28555"/>
      <w:bookmarkStart w:id="309" w:name="_Toc9861"/>
      <w:bookmarkStart w:id="310" w:name="_Toc21796"/>
      <w:bookmarkStart w:id="311" w:name="_Toc12777"/>
      <w:bookmarkStart w:id="312" w:name="_Toc444197202"/>
      <w:r>
        <w:rPr>
          <w:rFonts w:hint="eastAsia" w:ascii="仿宋" w:hAnsi="仿宋" w:eastAsia="仿宋" w:cs="仿宋"/>
          <w:b/>
          <w:snapToGrid/>
          <w:szCs w:val="21"/>
        </w:rPr>
        <w:t>活动水平数据</w:t>
      </w:r>
      <w:r>
        <w:rPr>
          <w:rFonts w:hint="eastAsia" w:ascii="仿宋" w:hAnsi="仿宋" w:eastAsia="仿宋" w:cs="仿宋"/>
          <w:b/>
          <w:snapToGrid/>
          <w:szCs w:val="21"/>
          <w:lang w:val="en-US" w:eastAsia="zh-CN"/>
        </w:rPr>
        <w:t>1</w:t>
      </w:r>
      <w:r>
        <w:rPr>
          <w:rFonts w:hint="eastAsia" w:ascii="仿宋" w:hAnsi="仿宋" w:eastAsia="仿宋" w:cs="仿宋"/>
          <w:b/>
          <w:snapToGrid/>
          <w:szCs w:val="21"/>
        </w:rPr>
        <w:t>：净购入电力消耗量</w:t>
      </w:r>
    </w:p>
    <w:p w14:paraId="135D5E7E">
      <w:pPr>
        <w:widowControl/>
        <w:ind w:firstLine="0" w:firstLineChars="0"/>
        <w:jc w:val="center"/>
        <w:rPr>
          <w:rFonts w:hint="eastAsia" w:ascii="仿宋" w:hAnsi="仿宋" w:eastAsia="仿宋" w:cs="仿宋"/>
          <w:b/>
          <w:snapToGrid/>
          <w:szCs w:val="21"/>
        </w:rPr>
      </w:pPr>
      <w:r>
        <w:rPr>
          <w:rFonts w:hint="eastAsia" w:ascii="仿宋" w:hAnsi="仿宋" w:eastAsia="仿宋" w:cs="仿宋"/>
          <w:b/>
          <w:snapToGrid/>
          <w:szCs w:val="21"/>
        </w:rPr>
        <w:t>表3-</w:t>
      </w:r>
      <w:r>
        <w:rPr>
          <w:rFonts w:hint="eastAsia" w:ascii="仿宋" w:hAnsi="仿宋" w:eastAsia="仿宋" w:cs="仿宋"/>
          <w:b/>
          <w:snapToGrid/>
          <w:szCs w:val="21"/>
          <w:lang w:val="en-US" w:eastAsia="zh-CN"/>
        </w:rPr>
        <w:t>6</w:t>
      </w:r>
      <w:r>
        <w:rPr>
          <w:rFonts w:hint="eastAsia" w:ascii="仿宋" w:hAnsi="仿宋" w:eastAsia="仿宋" w:cs="仿宋"/>
          <w:b/>
          <w:snapToGrid/>
          <w:szCs w:val="21"/>
        </w:rPr>
        <w:t xml:space="preserve">  对净购入电力消耗量的核查</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1144"/>
        <w:gridCol w:w="5448"/>
      </w:tblGrid>
      <w:tr w14:paraId="15200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restart"/>
            <w:vAlign w:val="center"/>
          </w:tcPr>
          <w:p w14:paraId="5C6CA46A">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数据值</w:t>
            </w:r>
          </w:p>
        </w:tc>
        <w:tc>
          <w:tcPr>
            <w:tcW w:w="1144" w:type="dxa"/>
            <w:vAlign w:val="center"/>
          </w:tcPr>
          <w:p w14:paraId="61FCF67D">
            <w:pPr>
              <w:spacing w:line="240" w:lineRule="auto"/>
              <w:ind w:firstLine="0" w:firstLineChars="0"/>
              <w:jc w:val="center"/>
              <w:rPr>
                <w:rFonts w:hint="eastAsia" w:ascii="仿宋" w:hAnsi="仿宋" w:eastAsia="仿宋" w:cs="仿宋"/>
                <w:b/>
                <w:bCs/>
                <w:sz w:val="24"/>
              </w:rPr>
            </w:pPr>
            <w:r>
              <w:rPr>
                <w:rFonts w:hint="eastAsia" w:ascii="仿宋" w:hAnsi="仿宋" w:eastAsia="仿宋" w:cs="仿宋"/>
                <w:b/>
                <w:bCs/>
                <w:sz w:val="24"/>
              </w:rPr>
              <w:t>年份</w:t>
            </w:r>
          </w:p>
        </w:tc>
        <w:tc>
          <w:tcPr>
            <w:tcW w:w="5448" w:type="dxa"/>
            <w:vAlign w:val="center"/>
          </w:tcPr>
          <w:p w14:paraId="6FEC25D1">
            <w:pPr>
              <w:spacing w:line="240" w:lineRule="auto"/>
              <w:ind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数据值</w:t>
            </w:r>
          </w:p>
        </w:tc>
      </w:tr>
      <w:tr w14:paraId="38C51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1A8BD1F4">
            <w:pPr>
              <w:spacing w:line="240" w:lineRule="auto"/>
              <w:ind w:firstLine="0" w:firstLineChars="0"/>
              <w:jc w:val="center"/>
              <w:rPr>
                <w:rFonts w:hint="eastAsia" w:ascii="仿宋" w:hAnsi="仿宋" w:eastAsia="仿宋" w:cs="仿宋"/>
                <w:b/>
                <w:snapToGrid/>
                <w:sz w:val="24"/>
                <w:szCs w:val="28"/>
              </w:rPr>
            </w:pPr>
          </w:p>
        </w:tc>
        <w:tc>
          <w:tcPr>
            <w:tcW w:w="1144" w:type="dxa"/>
            <w:vAlign w:val="center"/>
          </w:tcPr>
          <w:p w14:paraId="2A1BC157">
            <w:pPr>
              <w:spacing w:line="240" w:lineRule="auto"/>
              <w:ind w:firstLine="0" w:firstLineChars="0"/>
              <w:jc w:val="center"/>
              <w:rPr>
                <w:rFonts w:hint="eastAsia" w:ascii="仿宋" w:hAnsi="仿宋" w:eastAsia="仿宋" w:cs="仿宋"/>
                <w:b/>
                <w:bCs/>
                <w:snapToGrid/>
                <w:sz w:val="24"/>
                <w:szCs w:val="28"/>
              </w:rPr>
            </w:pPr>
            <w:r>
              <w:rPr>
                <w:rFonts w:hint="eastAsia" w:ascii="仿宋" w:hAnsi="仿宋" w:eastAsia="仿宋" w:cs="仿宋"/>
                <w:b/>
                <w:bCs/>
                <w:snapToGrid/>
                <w:sz w:val="24"/>
                <w:szCs w:val="28"/>
              </w:rPr>
              <w:t>2023</w:t>
            </w:r>
          </w:p>
        </w:tc>
        <w:tc>
          <w:tcPr>
            <w:tcW w:w="5448" w:type="dxa"/>
            <w:vAlign w:val="center"/>
          </w:tcPr>
          <w:p w14:paraId="479F45C0">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2158</w:t>
            </w:r>
            <w:r>
              <w:rPr>
                <w:rFonts w:hint="eastAsia" w:ascii="仿宋" w:hAnsi="仿宋" w:eastAsia="仿宋" w:cs="仿宋"/>
                <w:sz w:val="24"/>
                <w:szCs w:val="24"/>
                <w:lang w:val="en-US" w:eastAsia="zh-CN"/>
              </w:rPr>
              <w:t>.</w:t>
            </w:r>
            <w:r>
              <w:rPr>
                <w:rFonts w:hint="eastAsia" w:ascii="仿宋" w:hAnsi="仿宋" w:eastAsia="仿宋" w:cs="仿宋"/>
                <w:sz w:val="24"/>
                <w:szCs w:val="24"/>
              </w:rPr>
              <w:t>55</w:t>
            </w:r>
          </w:p>
        </w:tc>
      </w:tr>
      <w:tr w14:paraId="7E234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27B23E27">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kern w:val="0"/>
                <w:sz w:val="24"/>
                <w:szCs w:val="24"/>
                <w:lang w:val="en-GB"/>
              </w:rPr>
              <w:t>数据项</w:t>
            </w:r>
          </w:p>
        </w:tc>
        <w:tc>
          <w:tcPr>
            <w:tcW w:w="6592" w:type="dxa"/>
            <w:gridSpan w:val="2"/>
            <w:vAlign w:val="center"/>
          </w:tcPr>
          <w:p w14:paraId="624AD19D">
            <w:pPr>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净购入电力消耗量</w:t>
            </w:r>
          </w:p>
        </w:tc>
      </w:tr>
      <w:tr w14:paraId="423F1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51B7011F">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单位</w:t>
            </w:r>
          </w:p>
        </w:tc>
        <w:tc>
          <w:tcPr>
            <w:tcW w:w="6592" w:type="dxa"/>
            <w:gridSpan w:val="2"/>
            <w:vAlign w:val="center"/>
          </w:tcPr>
          <w:p w14:paraId="3E429166">
            <w:pPr>
              <w:spacing w:line="240" w:lineRule="auto"/>
              <w:ind w:firstLine="0" w:firstLineChars="0"/>
              <w:jc w:val="left"/>
              <w:rPr>
                <w:rFonts w:hint="eastAsia" w:ascii="仿宋" w:hAnsi="仿宋" w:eastAsia="仿宋" w:cs="仿宋"/>
                <w:sz w:val="24"/>
              </w:rPr>
            </w:pPr>
            <w:r>
              <w:rPr>
                <w:rFonts w:hint="eastAsia" w:ascii="仿宋" w:hAnsi="仿宋" w:eastAsia="仿宋" w:cs="仿宋"/>
                <w:sz w:val="24"/>
                <w:lang w:val="en-US" w:eastAsia="zh-CN"/>
              </w:rPr>
              <w:t>M</w:t>
            </w:r>
            <w:r>
              <w:rPr>
                <w:rFonts w:hint="eastAsia" w:ascii="仿宋" w:hAnsi="仿宋" w:eastAsia="仿宋" w:cs="仿宋"/>
                <w:sz w:val="24"/>
              </w:rPr>
              <w:t>Wh</w:t>
            </w:r>
          </w:p>
        </w:tc>
      </w:tr>
      <w:tr w14:paraId="52394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32AA4B00">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数据来源</w:t>
            </w:r>
          </w:p>
        </w:tc>
        <w:tc>
          <w:tcPr>
            <w:tcW w:w="6592" w:type="dxa"/>
            <w:gridSpan w:val="2"/>
            <w:vAlign w:val="center"/>
          </w:tcPr>
          <w:p w14:paraId="288C63D5">
            <w:pPr>
              <w:spacing w:line="240" w:lineRule="auto"/>
              <w:ind w:firstLine="0" w:firstLineChars="0"/>
              <w:rPr>
                <w:rFonts w:hint="eastAsia" w:ascii="仿宋" w:hAnsi="仿宋" w:eastAsia="仿宋" w:cs="仿宋"/>
                <w:sz w:val="24"/>
              </w:rPr>
            </w:pPr>
            <w:r>
              <w:rPr>
                <w:rFonts w:hint="eastAsia" w:ascii="仿宋" w:hAnsi="仿宋" w:eastAsia="仿宋" w:cs="仿宋"/>
                <w:sz w:val="24"/>
                <w:szCs w:val="24"/>
              </w:rPr>
              <w:t>《能源统计》</w:t>
            </w:r>
          </w:p>
        </w:tc>
      </w:tr>
      <w:tr w14:paraId="3F27F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19FA96A8">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监测方法</w:t>
            </w:r>
          </w:p>
        </w:tc>
        <w:tc>
          <w:tcPr>
            <w:tcW w:w="6592" w:type="dxa"/>
            <w:gridSpan w:val="2"/>
            <w:vAlign w:val="center"/>
          </w:tcPr>
          <w:p w14:paraId="065CCD6A">
            <w:pPr>
              <w:spacing w:line="240" w:lineRule="auto"/>
              <w:ind w:firstLine="0" w:firstLineChars="0"/>
              <w:rPr>
                <w:rFonts w:hint="eastAsia" w:ascii="仿宋" w:hAnsi="仿宋" w:eastAsia="仿宋" w:cs="仿宋"/>
                <w:sz w:val="24"/>
              </w:rPr>
            </w:pPr>
            <w:r>
              <w:rPr>
                <w:rFonts w:hint="eastAsia" w:ascii="仿宋" w:hAnsi="仿宋" w:eastAsia="仿宋" w:cs="仿宋"/>
                <w:sz w:val="24"/>
              </w:rPr>
              <w:t>电表计量</w:t>
            </w:r>
          </w:p>
        </w:tc>
      </w:tr>
      <w:tr w14:paraId="29EF4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0E597682">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监测频次</w:t>
            </w:r>
          </w:p>
        </w:tc>
        <w:tc>
          <w:tcPr>
            <w:tcW w:w="6592" w:type="dxa"/>
            <w:gridSpan w:val="2"/>
            <w:vAlign w:val="center"/>
          </w:tcPr>
          <w:p w14:paraId="774E4748">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连续监测</w:t>
            </w:r>
          </w:p>
        </w:tc>
      </w:tr>
      <w:tr w14:paraId="1EE2A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4A4A7B2D">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记录频次</w:t>
            </w:r>
          </w:p>
        </w:tc>
        <w:tc>
          <w:tcPr>
            <w:tcW w:w="6592" w:type="dxa"/>
            <w:gridSpan w:val="2"/>
            <w:vAlign w:val="center"/>
          </w:tcPr>
          <w:p w14:paraId="6AD48E51">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每月统计、每年汇总</w:t>
            </w:r>
          </w:p>
        </w:tc>
      </w:tr>
      <w:tr w14:paraId="0D188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05AA75EF">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数据缺失处理</w:t>
            </w:r>
          </w:p>
        </w:tc>
        <w:tc>
          <w:tcPr>
            <w:tcW w:w="6592" w:type="dxa"/>
            <w:gridSpan w:val="2"/>
            <w:vAlign w:val="center"/>
          </w:tcPr>
          <w:p w14:paraId="7BF28AD6">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数据无缺失</w:t>
            </w:r>
          </w:p>
        </w:tc>
      </w:tr>
      <w:tr w14:paraId="35494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12AD2D3A">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交叉核对</w:t>
            </w:r>
          </w:p>
        </w:tc>
        <w:tc>
          <w:tcPr>
            <w:tcW w:w="6592" w:type="dxa"/>
            <w:gridSpan w:val="2"/>
            <w:vAlign w:val="center"/>
          </w:tcPr>
          <w:p w14:paraId="031F1884">
            <w:pPr>
              <w:spacing w:line="240" w:lineRule="auto"/>
              <w:ind w:firstLine="0" w:firstLineChars="0"/>
              <w:rPr>
                <w:rFonts w:hint="eastAsia" w:ascii="仿宋" w:hAnsi="仿宋" w:eastAsia="仿宋" w:cs="仿宋"/>
                <w:sz w:val="24"/>
              </w:rPr>
            </w:pPr>
            <w:r>
              <w:rPr>
                <w:rFonts w:hint="eastAsia" w:ascii="仿宋" w:hAnsi="仿宋" w:eastAsia="仿宋" w:cs="仿宋"/>
                <w:sz w:val="24"/>
              </w:rPr>
              <w:t>无交叉核对</w:t>
            </w:r>
          </w:p>
        </w:tc>
      </w:tr>
      <w:tr w14:paraId="5400E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restart"/>
            <w:vAlign w:val="center"/>
          </w:tcPr>
          <w:p w14:paraId="290D0EAD">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交叉</w:t>
            </w:r>
            <w:r>
              <w:rPr>
                <w:rFonts w:hint="eastAsia" w:ascii="仿宋" w:hAnsi="仿宋" w:eastAsia="仿宋" w:cs="仿宋"/>
                <w:b/>
                <w:snapToGrid/>
                <w:kern w:val="0"/>
                <w:sz w:val="24"/>
                <w:szCs w:val="24"/>
                <w:lang w:val="en-GB"/>
              </w:rPr>
              <w:t>核对</w:t>
            </w:r>
            <w:r>
              <w:rPr>
                <w:rFonts w:hint="eastAsia" w:ascii="仿宋" w:hAnsi="仿宋" w:eastAsia="仿宋" w:cs="仿宋"/>
                <w:b/>
                <w:snapToGrid/>
                <w:sz w:val="24"/>
                <w:szCs w:val="28"/>
              </w:rPr>
              <w:t>数据</w:t>
            </w:r>
          </w:p>
        </w:tc>
        <w:tc>
          <w:tcPr>
            <w:tcW w:w="1144" w:type="dxa"/>
            <w:vAlign w:val="center"/>
          </w:tcPr>
          <w:p w14:paraId="3719BD39">
            <w:pPr>
              <w:spacing w:line="240" w:lineRule="auto"/>
              <w:ind w:firstLine="0" w:firstLineChars="0"/>
              <w:jc w:val="center"/>
              <w:rPr>
                <w:rFonts w:hint="eastAsia" w:ascii="仿宋" w:hAnsi="仿宋" w:eastAsia="仿宋" w:cs="仿宋"/>
                <w:sz w:val="24"/>
              </w:rPr>
            </w:pPr>
            <w:r>
              <w:rPr>
                <w:rFonts w:hint="eastAsia" w:ascii="仿宋" w:hAnsi="仿宋" w:eastAsia="仿宋" w:cs="仿宋"/>
                <w:b/>
                <w:bCs/>
                <w:sz w:val="24"/>
              </w:rPr>
              <w:t>年份</w:t>
            </w:r>
          </w:p>
        </w:tc>
        <w:tc>
          <w:tcPr>
            <w:tcW w:w="5448" w:type="dxa"/>
            <w:vAlign w:val="center"/>
          </w:tcPr>
          <w:p w14:paraId="7527CD8D">
            <w:pPr>
              <w:spacing w:line="240" w:lineRule="auto"/>
              <w:ind w:firstLine="0" w:firstLineChars="0"/>
              <w:jc w:val="center"/>
              <w:rPr>
                <w:rFonts w:hint="eastAsia" w:ascii="仿宋" w:hAnsi="仿宋" w:eastAsia="仿宋" w:cs="仿宋"/>
                <w:bCs/>
                <w:snapToGrid/>
                <w:sz w:val="24"/>
                <w:szCs w:val="24"/>
              </w:rPr>
            </w:pPr>
            <w:r>
              <w:rPr>
                <w:rFonts w:hint="eastAsia" w:ascii="仿宋" w:hAnsi="仿宋" w:eastAsia="仿宋" w:cs="仿宋"/>
                <w:sz w:val="24"/>
                <w:szCs w:val="24"/>
              </w:rPr>
              <w:t>《能源统计》</w:t>
            </w:r>
          </w:p>
        </w:tc>
      </w:tr>
      <w:tr w14:paraId="2492E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56164EEA">
            <w:pPr>
              <w:spacing w:line="240" w:lineRule="auto"/>
              <w:ind w:firstLine="0" w:firstLineChars="0"/>
              <w:jc w:val="center"/>
              <w:rPr>
                <w:rFonts w:hint="eastAsia" w:ascii="仿宋" w:hAnsi="仿宋" w:eastAsia="仿宋" w:cs="仿宋"/>
                <w:b/>
                <w:snapToGrid/>
                <w:sz w:val="24"/>
                <w:szCs w:val="28"/>
              </w:rPr>
            </w:pPr>
          </w:p>
        </w:tc>
        <w:tc>
          <w:tcPr>
            <w:tcW w:w="1144" w:type="dxa"/>
            <w:vAlign w:val="center"/>
          </w:tcPr>
          <w:p w14:paraId="2DA1C47D">
            <w:pPr>
              <w:spacing w:line="240" w:lineRule="auto"/>
              <w:ind w:firstLine="0" w:firstLineChars="0"/>
              <w:jc w:val="center"/>
              <w:rPr>
                <w:rFonts w:hint="eastAsia" w:ascii="仿宋" w:hAnsi="仿宋" w:eastAsia="仿宋" w:cs="仿宋"/>
                <w:sz w:val="24"/>
              </w:rPr>
            </w:pPr>
            <w:r>
              <w:rPr>
                <w:rFonts w:hint="eastAsia" w:ascii="仿宋" w:hAnsi="仿宋" w:eastAsia="仿宋" w:cs="仿宋"/>
                <w:b/>
                <w:bCs/>
                <w:sz w:val="24"/>
              </w:rPr>
              <w:t>2023</w:t>
            </w:r>
          </w:p>
        </w:tc>
        <w:tc>
          <w:tcPr>
            <w:tcW w:w="5448" w:type="dxa"/>
            <w:vAlign w:val="center"/>
          </w:tcPr>
          <w:p w14:paraId="339F797D">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2158</w:t>
            </w:r>
            <w:r>
              <w:rPr>
                <w:rFonts w:hint="eastAsia" w:ascii="仿宋" w:hAnsi="仿宋" w:eastAsia="仿宋" w:cs="仿宋"/>
                <w:sz w:val="24"/>
                <w:szCs w:val="24"/>
                <w:lang w:val="en-US" w:eastAsia="zh-CN"/>
              </w:rPr>
              <w:t>.</w:t>
            </w:r>
            <w:r>
              <w:rPr>
                <w:rFonts w:hint="eastAsia" w:ascii="仿宋" w:hAnsi="仿宋" w:eastAsia="仿宋" w:cs="仿宋"/>
                <w:sz w:val="24"/>
                <w:szCs w:val="24"/>
              </w:rPr>
              <w:t>553</w:t>
            </w:r>
          </w:p>
        </w:tc>
      </w:tr>
      <w:tr w14:paraId="73C50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54189264">
            <w:pPr>
              <w:spacing w:line="240" w:lineRule="auto"/>
              <w:ind w:firstLine="0" w:firstLineChars="0"/>
              <w:jc w:val="center"/>
              <w:rPr>
                <w:rFonts w:hint="eastAsia" w:ascii="仿宋" w:hAnsi="仿宋" w:eastAsia="仿宋" w:cs="仿宋"/>
                <w:b/>
                <w:snapToGrid/>
                <w:sz w:val="24"/>
                <w:szCs w:val="28"/>
              </w:rPr>
            </w:pPr>
          </w:p>
        </w:tc>
        <w:tc>
          <w:tcPr>
            <w:tcW w:w="6592" w:type="dxa"/>
            <w:gridSpan w:val="2"/>
            <w:vAlign w:val="center"/>
          </w:tcPr>
          <w:p w14:paraId="31F993D6">
            <w:pPr>
              <w:spacing w:line="240" w:lineRule="auto"/>
              <w:ind w:firstLine="0" w:firstLineChars="0"/>
              <w:rPr>
                <w:rFonts w:hint="eastAsia" w:ascii="仿宋" w:hAnsi="仿宋" w:eastAsia="仿宋" w:cs="仿宋"/>
                <w:sz w:val="24"/>
              </w:rPr>
            </w:pPr>
            <w:r>
              <w:rPr>
                <w:rFonts w:hint="eastAsia" w:ascii="仿宋" w:hAnsi="仿宋" w:eastAsia="仿宋" w:cs="仿宋"/>
                <w:sz w:val="24"/>
              </w:rPr>
              <w:t>经核对，核查组确认终版排放报告中</w:t>
            </w:r>
            <w:r>
              <w:rPr>
                <w:rFonts w:hint="eastAsia" w:ascii="仿宋" w:hAnsi="仿宋" w:eastAsia="仿宋" w:cs="仿宋"/>
                <w:sz w:val="24"/>
                <w:szCs w:val="24"/>
              </w:rPr>
              <w:t>净购入电力消耗量的数据来源于《能源统计》。</w:t>
            </w:r>
          </w:p>
        </w:tc>
      </w:tr>
      <w:tr w14:paraId="48EFE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3C370C41">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核查结论</w:t>
            </w:r>
          </w:p>
        </w:tc>
        <w:tc>
          <w:tcPr>
            <w:tcW w:w="6592" w:type="dxa"/>
            <w:gridSpan w:val="2"/>
            <w:vAlign w:val="center"/>
          </w:tcPr>
          <w:p w14:paraId="6403F390">
            <w:pPr>
              <w:spacing w:line="240" w:lineRule="auto"/>
              <w:ind w:firstLine="0" w:firstLineChars="0"/>
              <w:rPr>
                <w:rFonts w:hint="eastAsia" w:ascii="仿宋" w:hAnsi="仿宋" w:eastAsia="仿宋" w:cs="仿宋"/>
                <w:sz w:val="24"/>
              </w:rPr>
            </w:pPr>
            <w:r>
              <w:rPr>
                <w:rFonts w:hint="eastAsia" w:ascii="仿宋" w:hAnsi="仿宋" w:eastAsia="仿宋" w:cs="仿宋"/>
                <w:sz w:val="24"/>
              </w:rPr>
              <w:t>核查组确认终版排放报告中</w:t>
            </w:r>
            <w:r>
              <w:rPr>
                <w:rFonts w:hint="eastAsia" w:ascii="仿宋" w:hAnsi="仿宋" w:eastAsia="仿宋" w:cs="仿宋"/>
                <w:sz w:val="24"/>
                <w:szCs w:val="24"/>
              </w:rPr>
              <w:t>净购入电力</w:t>
            </w:r>
            <w:r>
              <w:rPr>
                <w:rFonts w:hint="eastAsia" w:ascii="仿宋" w:hAnsi="仿宋" w:eastAsia="仿宋" w:cs="仿宋"/>
                <w:sz w:val="24"/>
              </w:rPr>
              <w:t>来源于</w:t>
            </w:r>
            <w:r>
              <w:rPr>
                <w:rFonts w:hint="eastAsia" w:ascii="仿宋" w:hAnsi="仿宋" w:eastAsia="仿宋" w:cs="仿宋"/>
                <w:sz w:val="24"/>
                <w:szCs w:val="24"/>
              </w:rPr>
              <w:t>《能源统计》</w:t>
            </w:r>
            <w:r>
              <w:rPr>
                <w:rFonts w:hint="eastAsia" w:ascii="仿宋" w:hAnsi="仿宋" w:eastAsia="仿宋" w:cs="仿宋"/>
                <w:sz w:val="24"/>
              </w:rPr>
              <w:t>,数据源选取合理，符合核算指南要求，数据准确、可靠。</w:t>
            </w:r>
          </w:p>
        </w:tc>
      </w:tr>
    </w:tbl>
    <w:p w14:paraId="52606B05">
      <w:pPr>
        <w:keepNext/>
        <w:widowControl/>
        <w:spacing w:beforeLines="50" w:afterLines="50"/>
        <w:ind w:firstLine="0" w:firstLineChars="0"/>
        <w:jc w:val="left"/>
        <w:outlineLvl w:val="3"/>
        <w:rPr>
          <w:rFonts w:hint="eastAsia" w:ascii="仿宋" w:hAnsi="仿宋" w:eastAsia="仿宋" w:cs="仿宋"/>
          <w:b/>
          <w:snapToGrid/>
          <w:szCs w:val="21"/>
        </w:rPr>
      </w:pPr>
      <w:r>
        <w:rPr>
          <w:rFonts w:hint="eastAsia" w:ascii="仿宋" w:hAnsi="仿宋" w:eastAsia="仿宋" w:cs="仿宋"/>
          <w:b/>
          <w:snapToGrid/>
          <w:szCs w:val="21"/>
        </w:rPr>
        <w:t>活动水平数据</w:t>
      </w:r>
      <w:r>
        <w:rPr>
          <w:rFonts w:hint="eastAsia" w:ascii="仿宋" w:hAnsi="仿宋" w:eastAsia="仿宋" w:cs="仿宋"/>
          <w:b/>
          <w:snapToGrid/>
          <w:szCs w:val="21"/>
          <w:lang w:val="en-US" w:eastAsia="zh-CN"/>
        </w:rPr>
        <w:t>1</w:t>
      </w:r>
      <w:r>
        <w:rPr>
          <w:rFonts w:hint="eastAsia" w:ascii="仿宋" w:hAnsi="仿宋" w:eastAsia="仿宋" w:cs="仿宋"/>
          <w:b/>
          <w:snapToGrid/>
          <w:szCs w:val="21"/>
        </w:rPr>
        <w:t>：净购入电力消耗量</w:t>
      </w:r>
    </w:p>
    <w:p w14:paraId="6094DCBF">
      <w:pPr>
        <w:widowControl/>
        <w:ind w:firstLine="0" w:firstLineChars="0"/>
        <w:jc w:val="center"/>
        <w:rPr>
          <w:rFonts w:hint="eastAsia" w:ascii="仿宋" w:hAnsi="仿宋" w:eastAsia="仿宋" w:cs="仿宋"/>
          <w:b/>
          <w:snapToGrid/>
          <w:szCs w:val="21"/>
          <w:highlight w:val="none"/>
        </w:rPr>
      </w:pPr>
      <w:r>
        <w:rPr>
          <w:rFonts w:hint="eastAsia" w:ascii="仿宋" w:hAnsi="仿宋" w:eastAsia="仿宋" w:cs="仿宋"/>
          <w:b/>
          <w:snapToGrid/>
          <w:szCs w:val="21"/>
          <w:highlight w:val="none"/>
        </w:rPr>
        <w:t>表3-</w:t>
      </w:r>
      <w:r>
        <w:rPr>
          <w:rFonts w:hint="eastAsia" w:ascii="仿宋" w:hAnsi="仿宋" w:eastAsia="仿宋" w:cs="仿宋"/>
          <w:b/>
          <w:snapToGrid/>
          <w:szCs w:val="21"/>
          <w:highlight w:val="none"/>
          <w:lang w:val="en-US" w:eastAsia="zh-CN"/>
        </w:rPr>
        <w:t>7</w:t>
      </w:r>
      <w:r>
        <w:rPr>
          <w:rFonts w:hint="eastAsia" w:ascii="仿宋" w:hAnsi="仿宋" w:eastAsia="仿宋" w:cs="仿宋"/>
          <w:b/>
          <w:snapToGrid/>
          <w:szCs w:val="21"/>
          <w:highlight w:val="none"/>
        </w:rPr>
        <w:t xml:space="preserve">  对净购入</w:t>
      </w:r>
      <w:r>
        <w:rPr>
          <w:rFonts w:hint="eastAsia" w:ascii="仿宋" w:hAnsi="仿宋" w:eastAsia="仿宋" w:cs="仿宋"/>
          <w:b/>
          <w:snapToGrid/>
          <w:szCs w:val="21"/>
          <w:highlight w:val="none"/>
          <w:lang w:val="en-US" w:eastAsia="zh-CN"/>
        </w:rPr>
        <w:t>热</w:t>
      </w:r>
      <w:r>
        <w:rPr>
          <w:rFonts w:hint="eastAsia" w:ascii="仿宋" w:hAnsi="仿宋" w:eastAsia="仿宋" w:cs="仿宋"/>
          <w:b/>
          <w:snapToGrid/>
          <w:szCs w:val="21"/>
          <w:highlight w:val="none"/>
        </w:rPr>
        <w:t>力消耗量的核查</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1144"/>
        <w:gridCol w:w="5448"/>
      </w:tblGrid>
      <w:tr w14:paraId="30CBC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restart"/>
            <w:vAlign w:val="center"/>
          </w:tcPr>
          <w:p w14:paraId="73D30812">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数据值</w:t>
            </w:r>
          </w:p>
        </w:tc>
        <w:tc>
          <w:tcPr>
            <w:tcW w:w="1144" w:type="dxa"/>
            <w:vAlign w:val="center"/>
          </w:tcPr>
          <w:p w14:paraId="0D7A8A18">
            <w:pPr>
              <w:spacing w:line="240" w:lineRule="auto"/>
              <w:ind w:firstLine="0" w:firstLineChars="0"/>
              <w:jc w:val="center"/>
              <w:rPr>
                <w:rFonts w:hint="eastAsia" w:ascii="仿宋" w:hAnsi="仿宋" w:eastAsia="仿宋" w:cs="仿宋"/>
                <w:b/>
                <w:bCs/>
                <w:sz w:val="24"/>
              </w:rPr>
            </w:pPr>
            <w:r>
              <w:rPr>
                <w:rFonts w:hint="eastAsia" w:ascii="仿宋" w:hAnsi="仿宋" w:eastAsia="仿宋" w:cs="仿宋"/>
                <w:b/>
                <w:bCs/>
                <w:sz w:val="24"/>
              </w:rPr>
              <w:t>年份</w:t>
            </w:r>
          </w:p>
        </w:tc>
        <w:tc>
          <w:tcPr>
            <w:tcW w:w="5448" w:type="dxa"/>
            <w:vAlign w:val="center"/>
          </w:tcPr>
          <w:p w14:paraId="72B488F4">
            <w:pPr>
              <w:spacing w:line="240" w:lineRule="auto"/>
              <w:ind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数据值</w:t>
            </w:r>
          </w:p>
        </w:tc>
      </w:tr>
      <w:tr w14:paraId="450C7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31DA8C48">
            <w:pPr>
              <w:spacing w:line="240" w:lineRule="auto"/>
              <w:ind w:firstLine="0" w:firstLineChars="0"/>
              <w:jc w:val="center"/>
              <w:rPr>
                <w:rFonts w:hint="eastAsia" w:ascii="仿宋" w:hAnsi="仿宋" w:eastAsia="仿宋" w:cs="仿宋"/>
                <w:b/>
                <w:snapToGrid/>
                <w:sz w:val="24"/>
                <w:szCs w:val="28"/>
              </w:rPr>
            </w:pPr>
          </w:p>
        </w:tc>
        <w:tc>
          <w:tcPr>
            <w:tcW w:w="1144" w:type="dxa"/>
            <w:vAlign w:val="center"/>
          </w:tcPr>
          <w:p w14:paraId="2DC8A176">
            <w:pPr>
              <w:spacing w:line="240" w:lineRule="auto"/>
              <w:ind w:firstLine="0" w:firstLineChars="0"/>
              <w:jc w:val="center"/>
              <w:rPr>
                <w:rFonts w:hint="eastAsia" w:ascii="仿宋" w:hAnsi="仿宋" w:eastAsia="仿宋" w:cs="仿宋"/>
                <w:b/>
                <w:bCs/>
                <w:snapToGrid/>
                <w:sz w:val="24"/>
                <w:szCs w:val="28"/>
              </w:rPr>
            </w:pPr>
            <w:r>
              <w:rPr>
                <w:rFonts w:hint="eastAsia" w:ascii="仿宋" w:hAnsi="仿宋" w:eastAsia="仿宋" w:cs="仿宋"/>
                <w:b/>
                <w:bCs/>
                <w:snapToGrid/>
                <w:sz w:val="24"/>
                <w:szCs w:val="28"/>
              </w:rPr>
              <w:t>2023</w:t>
            </w:r>
          </w:p>
        </w:tc>
        <w:tc>
          <w:tcPr>
            <w:tcW w:w="5448" w:type="dxa"/>
            <w:vAlign w:val="center"/>
          </w:tcPr>
          <w:p w14:paraId="32BE8C56">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9022</w:t>
            </w:r>
          </w:p>
        </w:tc>
      </w:tr>
      <w:tr w14:paraId="0F5B1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1AFC06ED">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kern w:val="0"/>
                <w:sz w:val="24"/>
                <w:szCs w:val="24"/>
                <w:lang w:val="en-GB"/>
              </w:rPr>
              <w:t>数据项</w:t>
            </w:r>
          </w:p>
        </w:tc>
        <w:tc>
          <w:tcPr>
            <w:tcW w:w="6592" w:type="dxa"/>
            <w:gridSpan w:val="2"/>
            <w:vAlign w:val="center"/>
          </w:tcPr>
          <w:p w14:paraId="7D31CE33">
            <w:pPr>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净购入</w:t>
            </w:r>
            <w:r>
              <w:rPr>
                <w:rFonts w:hint="eastAsia" w:ascii="仿宋" w:hAnsi="仿宋" w:eastAsia="仿宋" w:cs="仿宋"/>
                <w:sz w:val="24"/>
                <w:szCs w:val="24"/>
                <w:lang w:val="en-US" w:eastAsia="zh-CN"/>
              </w:rPr>
              <w:t>热</w:t>
            </w:r>
            <w:r>
              <w:rPr>
                <w:rFonts w:hint="eastAsia" w:ascii="仿宋" w:hAnsi="仿宋" w:eastAsia="仿宋" w:cs="仿宋"/>
                <w:sz w:val="24"/>
                <w:szCs w:val="24"/>
              </w:rPr>
              <w:t>力消耗量</w:t>
            </w:r>
          </w:p>
        </w:tc>
      </w:tr>
      <w:tr w14:paraId="61D2D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2AC59D74">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单位</w:t>
            </w:r>
          </w:p>
        </w:tc>
        <w:tc>
          <w:tcPr>
            <w:tcW w:w="6592" w:type="dxa"/>
            <w:gridSpan w:val="2"/>
            <w:vAlign w:val="center"/>
          </w:tcPr>
          <w:p w14:paraId="02AD8ECF">
            <w:pPr>
              <w:spacing w:line="240" w:lineRule="auto"/>
              <w:ind w:firstLine="0" w:firstLineChars="0"/>
              <w:jc w:val="left"/>
              <w:rPr>
                <w:rFonts w:hint="eastAsia" w:ascii="仿宋" w:hAnsi="仿宋" w:eastAsia="仿宋" w:cs="仿宋"/>
                <w:sz w:val="24"/>
              </w:rPr>
            </w:pPr>
            <w:r>
              <w:rPr>
                <w:rFonts w:hint="eastAsia" w:ascii="仿宋" w:hAnsi="仿宋" w:eastAsia="仿宋" w:cs="仿宋"/>
                <w:sz w:val="24"/>
                <w:lang w:val="en-US" w:eastAsia="zh-CN"/>
              </w:rPr>
              <w:t>t</w:t>
            </w:r>
          </w:p>
        </w:tc>
      </w:tr>
      <w:tr w14:paraId="1A326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47975354">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数据来源</w:t>
            </w:r>
          </w:p>
        </w:tc>
        <w:tc>
          <w:tcPr>
            <w:tcW w:w="6592" w:type="dxa"/>
            <w:gridSpan w:val="2"/>
            <w:vAlign w:val="center"/>
          </w:tcPr>
          <w:p w14:paraId="6FC5E6B3">
            <w:pPr>
              <w:spacing w:line="240" w:lineRule="auto"/>
              <w:ind w:firstLine="0" w:firstLineChars="0"/>
              <w:rPr>
                <w:rFonts w:hint="eastAsia" w:ascii="仿宋" w:hAnsi="仿宋" w:eastAsia="仿宋" w:cs="仿宋"/>
                <w:sz w:val="24"/>
              </w:rPr>
            </w:pPr>
            <w:r>
              <w:rPr>
                <w:rFonts w:hint="eastAsia" w:ascii="仿宋" w:hAnsi="仿宋" w:eastAsia="仿宋" w:cs="仿宋"/>
                <w:sz w:val="24"/>
                <w:szCs w:val="24"/>
              </w:rPr>
              <w:t>《能源统计》</w:t>
            </w:r>
          </w:p>
        </w:tc>
      </w:tr>
      <w:tr w14:paraId="2C2B0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289899C3">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监测方法</w:t>
            </w:r>
          </w:p>
        </w:tc>
        <w:tc>
          <w:tcPr>
            <w:tcW w:w="6592" w:type="dxa"/>
            <w:gridSpan w:val="2"/>
            <w:vAlign w:val="center"/>
          </w:tcPr>
          <w:p w14:paraId="07B06097">
            <w:pPr>
              <w:spacing w:line="240" w:lineRule="auto"/>
              <w:ind w:firstLine="0" w:firstLineChars="0"/>
              <w:rPr>
                <w:rFonts w:hint="default" w:ascii="仿宋" w:hAnsi="仿宋" w:eastAsia="仿宋" w:cs="仿宋"/>
                <w:sz w:val="24"/>
                <w:lang w:val="en-US" w:eastAsia="zh-CN"/>
              </w:rPr>
            </w:pPr>
            <w:r>
              <w:rPr>
                <w:rFonts w:hint="eastAsia" w:ascii="仿宋" w:hAnsi="仿宋" w:eastAsia="仿宋" w:cs="仿宋"/>
                <w:sz w:val="24"/>
                <w:lang w:val="en-US" w:eastAsia="zh-CN"/>
              </w:rPr>
              <w:t>蒸汽表监测</w:t>
            </w:r>
          </w:p>
        </w:tc>
      </w:tr>
      <w:tr w14:paraId="28BEF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43654218">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监测频次</w:t>
            </w:r>
          </w:p>
        </w:tc>
        <w:tc>
          <w:tcPr>
            <w:tcW w:w="6592" w:type="dxa"/>
            <w:gridSpan w:val="2"/>
            <w:vAlign w:val="center"/>
          </w:tcPr>
          <w:p w14:paraId="1C13B59E">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连续监测</w:t>
            </w:r>
          </w:p>
        </w:tc>
      </w:tr>
      <w:tr w14:paraId="0D354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612807CE">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记录频次</w:t>
            </w:r>
          </w:p>
        </w:tc>
        <w:tc>
          <w:tcPr>
            <w:tcW w:w="6592" w:type="dxa"/>
            <w:gridSpan w:val="2"/>
            <w:vAlign w:val="center"/>
          </w:tcPr>
          <w:p w14:paraId="17B6F996">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每月统计、每年汇总</w:t>
            </w:r>
          </w:p>
        </w:tc>
      </w:tr>
      <w:tr w14:paraId="49950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778E5C39">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数据缺失处理</w:t>
            </w:r>
          </w:p>
        </w:tc>
        <w:tc>
          <w:tcPr>
            <w:tcW w:w="6592" w:type="dxa"/>
            <w:gridSpan w:val="2"/>
            <w:vAlign w:val="center"/>
          </w:tcPr>
          <w:p w14:paraId="56102606">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数据无缺失</w:t>
            </w:r>
          </w:p>
        </w:tc>
      </w:tr>
      <w:tr w14:paraId="52E9E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3840C8FB">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交叉核对</w:t>
            </w:r>
          </w:p>
        </w:tc>
        <w:tc>
          <w:tcPr>
            <w:tcW w:w="6592" w:type="dxa"/>
            <w:gridSpan w:val="2"/>
            <w:vAlign w:val="center"/>
          </w:tcPr>
          <w:p w14:paraId="1B9FD160">
            <w:pPr>
              <w:spacing w:line="240" w:lineRule="auto"/>
              <w:ind w:firstLine="0" w:firstLineChars="0"/>
              <w:rPr>
                <w:rFonts w:hint="eastAsia" w:ascii="仿宋" w:hAnsi="仿宋" w:eastAsia="仿宋" w:cs="仿宋"/>
                <w:sz w:val="24"/>
              </w:rPr>
            </w:pPr>
            <w:r>
              <w:rPr>
                <w:rFonts w:hint="eastAsia" w:ascii="仿宋" w:hAnsi="仿宋" w:eastAsia="仿宋" w:cs="仿宋"/>
                <w:sz w:val="24"/>
              </w:rPr>
              <w:t>无交叉核对</w:t>
            </w:r>
          </w:p>
        </w:tc>
      </w:tr>
      <w:tr w14:paraId="54811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restart"/>
            <w:vAlign w:val="center"/>
          </w:tcPr>
          <w:p w14:paraId="0BFEB59B">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交叉</w:t>
            </w:r>
            <w:r>
              <w:rPr>
                <w:rFonts w:hint="eastAsia" w:ascii="仿宋" w:hAnsi="仿宋" w:eastAsia="仿宋" w:cs="仿宋"/>
                <w:b/>
                <w:snapToGrid/>
                <w:kern w:val="0"/>
                <w:sz w:val="24"/>
                <w:szCs w:val="24"/>
                <w:lang w:val="en-GB"/>
              </w:rPr>
              <w:t>核对</w:t>
            </w:r>
            <w:r>
              <w:rPr>
                <w:rFonts w:hint="eastAsia" w:ascii="仿宋" w:hAnsi="仿宋" w:eastAsia="仿宋" w:cs="仿宋"/>
                <w:b/>
                <w:snapToGrid/>
                <w:sz w:val="24"/>
                <w:szCs w:val="28"/>
              </w:rPr>
              <w:t>数据</w:t>
            </w:r>
          </w:p>
        </w:tc>
        <w:tc>
          <w:tcPr>
            <w:tcW w:w="1144" w:type="dxa"/>
            <w:vAlign w:val="center"/>
          </w:tcPr>
          <w:p w14:paraId="07147582">
            <w:pPr>
              <w:spacing w:line="240" w:lineRule="auto"/>
              <w:ind w:firstLine="0" w:firstLineChars="0"/>
              <w:jc w:val="center"/>
              <w:rPr>
                <w:rFonts w:hint="eastAsia" w:ascii="仿宋" w:hAnsi="仿宋" w:eastAsia="仿宋" w:cs="仿宋"/>
                <w:sz w:val="24"/>
              </w:rPr>
            </w:pPr>
            <w:r>
              <w:rPr>
                <w:rFonts w:hint="eastAsia" w:ascii="仿宋" w:hAnsi="仿宋" w:eastAsia="仿宋" w:cs="仿宋"/>
                <w:b/>
                <w:bCs/>
                <w:sz w:val="24"/>
              </w:rPr>
              <w:t>年份</w:t>
            </w:r>
          </w:p>
        </w:tc>
        <w:tc>
          <w:tcPr>
            <w:tcW w:w="5448" w:type="dxa"/>
            <w:vAlign w:val="center"/>
          </w:tcPr>
          <w:p w14:paraId="569B3343">
            <w:pPr>
              <w:spacing w:line="240" w:lineRule="auto"/>
              <w:ind w:firstLine="0" w:firstLineChars="0"/>
              <w:jc w:val="center"/>
              <w:rPr>
                <w:rFonts w:hint="eastAsia" w:ascii="仿宋" w:hAnsi="仿宋" w:eastAsia="仿宋" w:cs="仿宋"/>
                <w:bCs/>
                <w:snapToGrid/>
                <w:sz w:val="24"/>
                <w:szCs w:val="24"/>
              </w:rPr>
            </w:pPr>
            <w:r>
              <w:rPr>
                <w:rFonts w:hint="eastAsia" w:ascii="仿宋" w:hAnsi="仿宋" w:eastAsia="仿宋" w:cs="仿宋"/>
                <w:sz w:val="24"/>
                <w:szCs w:val="24"/>
              </w:rPr>
              <w:t>《能源统计》</w:t>
            </w:r>
          </w:p>
        </w:tc>
      </w:tr>
      <w:tr w14:paraId="19AEC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7D15FCFB">
            <w:pPr>
              <w:spacing w:line="240" w:lineRule="auto"/>
              <w:ind w:firstLine="0" w:firstLineChars="0"/>
              <w:jc w:val="center"/>
              <w:rPr>
                <w:rFonts w:hint="eastAsia" w:ascii="仿宋" w:hAnsi="仿宋" w:eastAsia="仿宋" w:cs="仿宋"/>
                <w:b/>
                <w:snapToGrid/>
                <w:sz w:val="24"/>
                <w:szCs w:val="28"/>
              </w:rPr>
            </w:pPr>
          </w:p>
        </w:tc>
        <w:tc>
          <w:tcPr>
            <w:tcW w:w="1144" w:type="dxa"/>
            <w:vAlign w:val="center"/>
          </w:tcPr>
          <w:p w14:paraId="12A66DFC">
            <w:pPr>
              <w:spacing w:line="240" w:lineRule="auto"/>
              <w:ind w:firstLine="0" w:firstLineChars="0"/>
              <w:jc w:val="center"/>
              <w:rPr>
                <w:rFonts w:hint="eastAsia" w:ascii="仿宋" w:hAnsi="仿宋" w:eastAsia="仿宋" w:cs="仿宋"/>
                <w:sz w:val="24"/>
              </w:rPr>
            </w:pPr>
            <w:r>
              <w:rPr>
                <w:rFonts w:hint="eastAsia" w:ascii="仿宋" w:hAnsi="仿宋" w:eastAsia="仿宋" w:cs="仿宋"/>
                <w:b/>
                <w:bCs/>
                <w:sz w:val="24"/>
              </w:rPr>
              <w:t>2023</w:t>
            </w:r>
          </w:p>
        </w:tc>
        <w:tc>
          <w:tcPr>
            <w:tcW w:w="5448" w:type="dxa"/>
            <w:vAlign w:val="center"/>
          </w:tcPr>
          <w:p w14:paraId="51D1ED65">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9022</w:t>
            </w:r>
          </w:p>
        </w:tc>
      </w:tr>
      <w:tr w14:paraId="00F25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58331270">
            <w:pPr>
              <w:spacing w:line="240" w:lineRule="auto"/>
              <w:ind w:firstLine="0" w:firstLineChars="0"/>
              <w:jc w:val="center"/>
              <w:rPr>
                <w:rFonts w:hint="eastAsia" w:ascii="仿宋" w:hAnsi="仿宋" w:eastAsia="仿宋" w:cs="仿宋"/>
                <w:b/>
                <w:snapToGrid/>
                <w:sz w:val="24"/>
                <w:szCs w:val="28"/>
              </w:rPr>
            </w:pPr>
          </w:p>
        </w:tc>
        <w:tc>
          <w:tcPr>
            <w:tcW w:w="6592" w:type="dxa"/>
            <w:gridSpan w:val="2"/>
            <w:vAlign w:val="center"/>
          </w:tcPr>
          <w:p w14:paraId="3DB6E790">
            <w:pPr>
              <w:spacing w:line="240" w:lineRule="auto"/>
              <w:ind w:firstLine="0" w:firstLineChars="0"/>
              <w:rPr>
                <w:rFonts w:hint="eastAsia" w:ascii="仿宋" w:hAnsi="仿宋" w:eastAsia="仿宋" w:cs="仿宋"/>
                <w:sz w:val="24"/>
              </w:rPr>
            </w:pPr>
            <w:r>
              <w:rPr>
                <w:rFonts w:hint="eastAsia" w:ascii="仿宋" w:hAnsi="仿宋" w:eastAsia="仿宋" w:cs="仿宋"/>
                <w:sz w:val="24"/>
              </w:rPr>
              <w:t>经核对，核查组确认终版排放报告中</w:t>
            </w:r>
            <w:r>
              <w:rPr>
                <w:rFonts w:hint="eastAsia" w:ascii="仿宋" w:hAnsi="仿宋" w:eastAsia="仿宋" w:cs="仿宋"/>
                <w:sz w:val="24"/>
                <w:szCs w:val="24"/>
              </w:rPr>
              <w:t>净购入</w:t>
            </w:r>
            <w:r>
              <w:rPr>
                <w:rFonts w:hint="eastAsia" w:ascii="仿宋" w:hAnsi="仿宋" w:eastAsia="仿宋" w:cs="仿宋"/>
                <w:sz w:val="24"/>
                <w:szCs w:val="24"/>
                <w:lang w:val="en-US" w:eastAsia="zh-CN"/>
              </w:rPr>
              <w:t>热</w:t>
            </w:r>
            <w:r>
              <w:rPr>
                <w:rFonts w:hint="eastAsia" w:ascii="仿宋" w:hAnsi="仿宋" w:eastAsia="仿宋" w:cs="仿宋"/>
                <w:sz w:val="24"/>
                <w:szCs w:val="24"/>
              </w:rPr>
              <w:t>力消耗量的数据来源于《能源统计》。</w:t>
            </w:r>
          </w:p>
        </w:tc>
      </w:tr>
      <w:tr w14:paraId="50C50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62F36A82">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核查结论</w:t>
            </w:r>
          </w:p>
        </w:tc>
        <w:tc>
          <w:tcPr>
            <w:tcW w:w="6592" w:type="dxa"/>
            <w:gridSpan w:val="2"/>
            <w:vAlign w:val="center"/>
          </w:tcPr>
          <w:p w14:paraId="1473E831">
            <w:pPr>
              <w:spacing w:line="240" w:lineRule="auto"/>
              <w:ind w:firstLine="0" w:firstLineChars="0"/>
              <w:rPr>
                <w:rFonts w:hint="eastAsia" w:ascii="仿宋" w:hAnsi="仿宋" w:eastAsia="仿宋" w:cs="仿宋"/>
                <w:sz w:val="24"/>
              </w:rPr>
            </w:pPr>
            <w:r>
              <w:rPr>
                <w:rFonts w:hint="eastAsia" w:ascii="仿宋" w:hAnsi="仿宋" w:eastAsia="仿宋" w:cs="仿宋"/>
                <w:sz w:val="24"/>
              </w:rPr>
              <w:t>核查组确认终版排放报告中</w:t>
            </w:r>
            <w:r>
              <w:rPr>
                <w:rFonts w:hint="eastAsia" w:ascii="仿宋" w:hAnsi="仿宋" w:eastAsia="仿宋" w:cs="仿宋"/>
                <w:sz w:val="24"/>
                <w:szCs w:val="24"/>
              </w:rPr>
              <w:t>净购入电力</w:t>
            </w:r>
            <w:r>
              <w:rPr>
                <w:rFonts w:hint="eastAsia" w:ascii="仿宋" w:hAnsi="仿宋" w:eastAsia="仿宋" w:cs="仿宋"/>
                <w:sz w:val="24"/>
              </w:rPr>
              <w:t>来源于</w:t>
            </w:r>
            <w:r>
              <w:rPr>
                <w:rFonts w:hint="eastAsia" w:ascii="仿宋" w:hAnsi="仿宋" w:eastAsia="仿宋" w:cs="仿宋"/>
                <w:sz w:val="24"/>
                <w:szCs w:val="24"/>
              </w:rPr>
              <w:t>《能源统计》</w:t>
            </w:r>
            <w:r>
              <w:rPr>
                <w:rFonts w:hint="eastAsia" w:ascii="仿宋" w:hAnsi="仿宋" w:eastAsia="仿宋" w:cs="仿宋"/>
                <w:sz w:val="24"/>
              </w:rPr>
              <w:t>,数据源选取合理，符合核算指南要求，数据准确、可靠。</w:t>
            </w:r>
          </w:p>
        </w:tc>
      </w:tr>
    </w:tbl>
    <w:p w14:paraId="021A9D87">
      <w:pPr>
        <w:rPr>
          <w:rFonts w:hint="eastAsia" w:ascii="仿宋" w:hAnsi="仿宋" w:eastAsia="仿宋" w:cs="仿宋"/>
          <w:bCs/>
          <w:snapToGrid/>
          <w:szCs w:val="24"/>
        </w:rPr>
      </w:pPr>
      <w:r>
        <w:rPr>
          <w:rFonts w:hint="eastAsia" w:ascii="仿宋" w:hAnsi="仿宋" w:eastAsia="仿宋" w:cs="仿宋"/>
          <w:bCs/>
          <w:snapToGrid/>
          <w:szCs w:val="24"/>
        </w:rPr>
        <w:t>综上所述，通过文件评审和现场访问，核查组确认核查报告中活动水平数据及来源真实、可靠、正确，符合《核算指南》的要求。</w:t>
      </w:r>
    </w:p>
    <w:p w14:paraId="4C756F2D">
      <w:pPr>
        <w:pStyle w:val="4"/>
        <w:spacing w:beforeLines="50" w:afterLines="50"/>
        <w:rPr>
          <w:rFonts w:hint="eastAsia" w:ascii="仿宋" w:hAnsi="仿宋" w:eastAsia="仿宋" w:cs="仿宋"/>
          <w:szCs w:val="28"/>
        </w:rPr>
      </w:pPr>
      <w:bookmarkStart w:id="313" w:name="_Toc1287"/>
      <w:r>
        <w:rPr>
          <w:rFonts w:hint="eastAsia" w:ascii="仿宋" w:hAnsi="仿宋" w:eastAsia="仿宋" w:cs="仿宋"/>
          <w:szCs w:val="28"/>
        </w:rPr>
        <w:t>3.4.2 排放因子和计算系数数据及来源的核查</w:t>
      </w:r>
      <w:bookmarkEnd w:id="305"/>
      <w:bookmarkEnd w:id="306"/>
      <w:bookmarkEnd w:id="307"/>
      <w:bookmarkEnd w:id="308"/>
      <w:bookmarkEnd w:id="309"/>
      <w:bookmarkEnd w:id="310"/>
      <w:bookmarkEnd w:id="311"/>
      <w:bookmarkEnd w:id="312"/>
      <w:bookmarkEnd w:id="313"/>
    </w:p>
    <w:p w14:paraId="5490A033">
      <w:pPr>
        <w:jc w:val="left"/>
        <w:rPr>
          <w:rFonts w:hint="eastAsia" w:ascii="仿宋" w:hAnsi="仿宋" w:eastAsia="仿宋" w:cs="仿宋"/>
          <w:bCs/>
          <w:snapToGrid/>
          <w:szCs w:val="24"/>
        </w:rPr>
      </w:pPr>
      <w:r>
        <w:rPr>
          <w:rFonts w:hint="eastAsia" w:ascii="仿宋" w:hAnsi="仿宋" w:eastAsia="仿宋" w:cs="仿宋"/>
          <w:bCs/>
          <w:snapToGrid/>
          <w:szCs w:val="24"/>
        </w:rPr>
        <w:t>核查组通过查阅支持性文件及访谈受核查方，对排放报告中的每一个排放因子和计算系数的数据单位、数据来源、监测方法、监测频次、记录频次、数据缺失处理进行了核查，并对数据进行了交叉核对，具体结果如下：</w:t>
      </w:r>
    </w:p>
    <w:p w14:paraId="3E7F2530">
      <w:pPr>
        <w:keepNext/>
        <w:widowControl/>
        <w:spacing w:beforeLines="50" w:afterLines="50"/>
        <w:ind w:firstLine="0" w:firstLineChars="0"/>
        <w:jc w:val="left"/>
        <w:outlineLvl w:val="3"/>
        <w:rPr>
          <w:rFonts w:hint="eastAsia" w:ascii="仿宋" w:hAnsi="仿宋" w:eastAsia="仿宋" w:cs="仿宋"/>
          <w:b/>
          <w:snapToGrid/>
          <w:szCs w:val="21"/>
        </w:rPr>
      </w:pPr>
      <w:r>
        <w:rPr>
          <w:rFonts w:hint="eastAsia" w:ascii="仿宋" w:hAnsi="仿宋" w:eastAsia="仿宋" w:cs="仿宋"/>
          <w:b/>
          <w:snapToGrid/>
          <w:szCs w:val="21"/>
        </w:rPr>
        <w:t>排放因子和计算系数</w:t>
      </w:r>
      <w:r>
        <w:rPr>
          <w:rFonts w:hint="eastAsia" w:ascii="仿宋" w:hAnsi="仿宋" w:eastAsia="仿宋" w:cs="仿宋"/>
          <w:b/>
          <w:snapToGrid/>
          <w:szCs w:val="21"/>
          <w:lang w:val="en-US" w:eastAsia="zh-CN"/>
        </w:rPr>
        <w:t>1</w:t>
      </w:r>
      <w:r>
        <w:rPr>
          <w:rFonts w:hint="eastAsia" w:ascii="仿宋" w:hAnsi="仿宋" w:eastAsia="仿宋" w:cs="仿宋"/>
          <w:b/>
          <w:snapToGrid/>
          <w:szCs w:val="21"/>
        </w:rPr>
        <w:t>：</w:t>
      </w:r>
      <w:r>
        <w:rPr>
          <w:rFonts w:hint="eastAsia" w:ascii="仿宋" w:hAnsi="仿宋" w:eastAsia="仿宋" w:cs="仿宋"/>
          <w:b/>
          <w:bCs/>
        </w:rPr>
        <w:t>净购入电力排放因子</w:t>
      </w:r>
    </w:p>
    <w:p w14:paraId="321B19B0">
      <w:pPr>
        <w:pStyle w:val="46"/>
        <w:spacing w:beforeLines="20"/>
        <w:rPr>
          <w:rFonts w:hint="eastAsia" w:ascii="仿宋" w:hAnsi="仿宋" w:eastAsia="仿宋" w:cs="仿宋"/>
          <w:sz w:val="28"/>
          <w:szCs w:val="28"/>
        </w:rPr>
      </w:pPr>
      <w:r>
        <w:rPr>
          <w:rFonts w:hint="eastAsia" w:ascii="仿宋" w:hAnsi="仿宋" w:eastAsia="仿宋" w:cs="仿宋"/>
          <w:sz w:val="28"/>
          <w:szCs w:val="28"/>
        </w:rPr>
        <w:t>表3-</w:t>
      </w:r>
      <w:r>
        <w:rPr>
          <w:rFonts w:hint="eastAsia" w:ascii="仿宋" w:hAnsi="仿宋" w:eastAsia="仿宋" w:cs="仿宋"/>
          <w:sz w:val="28"/>
          <w:szCs w:val="28"/>
          <w:lang w:val="en-US" w:eastAsia="zh-CN"/>
        </w:rPr>
        <w:t>8</w:t>
      </w:r>
      <w:r>
        <w:rPr>
          <w:rFonts w:hint="eastAsia" w:ascii="仿宋" w:hAnsi="仿宋" w:eastAsia="仿宋" w:cs="仿宋"/>
          <w:sz w:val="28"/>
          <w:szCs w:val="28"/>
        </w:rPr>
        <w:t xml:space="preserve">  对净购入电力排放因子的核查</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7080"/>
      </w:tblGrid>
      <w:tr w14:paraId="6C30F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76192F36">
            <w:pPr>
              <w:snapToGrid w:val="0"/>
              <w:spacing w:line="240" w:lineRule="auto"/>
              <w:ind w:firstLine="0" w:firstLineChars="0"/>
              <w:jc w:val="center"/>
              <w:rPr>
                <w:rFonts w:hint="eastAsia" w:ascii="仿宋" w:hAnsi="仿宋" w:eastAsia="仿宋" w:cs="仿宋"/>
              </w:rPr>
            </w:pPr>
            <w:r>
              <w:rPr>
                <w:rFonts w:hint="eastAsia" w:ascii="仿宋" w:hAnsi="仿宋" w:eastAsia="仿宋" w:cs="仿宋"/>
                <w:b/>
                <w:bCs/>
                <w:sz w:val="24"/>
                <w:szCs w:val="24"/>
              </w:rPr>
              <w:t>数据值</w:t>
            </w:r>
          </w:p>
        </w:tc>
        <w:tc>
          <w:tcPr>
            <w:tcW w:w="7080" w:type="dxa"/>
            <w:tcBorders>
              <w:top w:val="single" w:color="auto" w:sz="4" w:space="0"/>
              <w:left w:val="single" w:color="auto" w:sz="4" w:space="0"/>
              <w:bottom w:val="single" w:color="auto" w:sz="4" w:space="0"/>
              <w:right w:val="single" w:color="auto" w:sz="4" w:space="0"/>
            </w:tcBorders>
            <w:vAlign w:val="center"/>
          </w:tcPr>
          <w:p w14:paraId="351D277A">
            <w:pPr>
              <w:snapToGrid w:val="0"/>
              <w:spacing w:line="240" w:lineRule="auto"/>
              <w:ind w:firstLine="0" w:firstLineChars="0"/>
              <w:rPr>
                <w:rFonts w:hint="default" w:ascii="仿宋" w:hAnsi="仿宋" w:eastAsia="仿宋" w:cs="仿宋"/>
                <w:sz w:val="24"/>
                <w:szCs w:val="24"/>
                <w:lang w:val="en-US" w:eastAsia="zh-CN"/>
              </w:rPr>
            </w:pPr>
            <w:r>
              <w:rPr>
                <w:rFonts w:hint="eastAsia" w:ascii="仿宋" w:hAnsi="仿宋" w:eastAsia="仿宋" w:cs="仿宋"/>
                <w:sz w:val="24"/>
                <w:szCs w:val="24"/>
              </w:rPr>
              <w:t>0.</w:t>
            </w:r>
            <w:r>
              <w:rPr>
                <w:rFonts w:hint="eastAsia" w:ascii="仿宋" w:hAnsi="仿宋" w:eastAsia="仿宋" w:cs="仿宋"/>
                <w:sz w:val="24"/>
                <w:szCs w:val="24"/>
                <w:lang w:val="en-US" w:eastAsia="zh-CN"/>
              </w:rPr>
              <w:t>5992</w:t>
            </w:r>
          </w:p>
        </w:tc>
      </w:tr>
      <w:tr w14:paraId="2CB5F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438F4653">
            <w:pPr>
              <w:snapToGrid w:val="0"/>
              <w:spacing w:line="240" w:lineRule="auto"/>
              <w:ind w:firstLine="0" w:firstLineChars="0"/>
              <w:jc w:val="center"/>
              <w:rPr>
                <w:rFonts w:hint="eastAsia" w:ascii="仿宋" w:hAnsi="仿宋" w:eastAsia="仿宋" w:cs="仿宋"/>
              </w:rPr>
            </w:pPr>
            <w:r>
              <w:rPr>
                <w:rFonts w:hint="eastAsia" w:ascii="仿宋" w:hAnsi="仿宋" w:eastAsia="仿宋" w:cs="仿宋"/>
                <w:b/>
                <w:bCs/>
                <w:sz w:val="24"/>
                <w:szCs w:val="24"/>
              </w:rPr>
              <w:t>数据项</w:t>
            </w:r>
          </w:p>
        </w:tc>
        <w:tc>
          <w:tcPr>
            <w:tcW w:w="7080" w:type="dxa"/>
            <w:tcBorders>
              <w:top w:val="single" w:color="auto" w:sz="4" w:space="0"/>
              <w:left w:val="single" w:color="auto" w:sz="4" w:space="0"/>
              <w:bottom w:val="single" w:color="auto" w:sz="4" w:space="0"/>
              <w:right w:val="single" w:color="auto" w:sz="4" w:space="0"/>
            </w:tcBorders>
            <w:vAlign w:val="center"/>
          </w:tcPr>
          <w:p w14:paraId="72054B3D">
            <w:pPr>
              <w:snapToGrid w:val="0"/>
              <w:spacing w:line="240" w:lineRule="auto"/>
              <w:ind w:firstLine="0" w:firstLineChars="0"/>
              <w:jc w:val="left"/>
              <w:rPr>
                <w:rFonts w:hint="eastAsia" w:ascii="仿宋" w:hAnsi="仿宋" w:eastAsia="仿宋" w:cs="仿宋"/>
                <w:sz w:val="24"/>
                <w:szCs w:val="24"/>
              </w:rPr>
            </w:pPr>
            <w:r>
              <w:rPr>
                <w:rFonts w:hint="eastAsia" w:ascii="仿宋" w:hAnsi="仿宋" w:eastAsia="仿宋" w:cs="仿宋"/>
                <w:sz w:val="24"/>
                <w:szCs w:val="24"/>
              </w:rPr>
              <w:t>净购入电力排放因子</w:t>
            </w:r>
          </w:p>
        </w:tc>
      </w:tr>
      <w:tr w14:paraId="6B13E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2119FB83">
            <w:pPr>
              <w:snapToGrid w:val="0"/>
              <w:spacing w:line="240" w:lineRule="auto"/>
              <w:ind w:firstLine="0" w:firstLineChars="0"/>
              <w:jc w:val="center"/>
              <w:rPr>
                <w:rFonts w:hint="eastAsia" w:ascii="仿宋" w:hAnsi="仿宋" w:eastAsia="仿宋" w:cs="仿宋"/>
              </w:rPr>
            </w:pPr>
            <w:r>
              <w:rPr>
                <w:rFonts w:hint="eastAsia" w:ascii="仿宋" w:hAnsi="仿宋" w:eastAsia="仿宋" w:cs="仿宋"/>
                <w:b/>
                <w:bCs/>
                <w:sz w:val="24"/>
                <w:szCs w:val="24"/>
              </w:rPr>
              <w:t>单位</w:t>
            </w:r>
          </w:p>
        </w:tc>
        <w:tc>
          <w:tcPr>
            <w:tcW w:w="7080" w:type="dxa"/>
            <w:tcBorders>
              <w:top w:val="single" w:color="auto" w:sz="4" w:space="0"/>
              <w:left w:val="single" w:color="auto" w:sz="4" w:space="0"/>
              <w:bottom w:val="single" w:color="auto" w:sz="4" w:space="0"/>
              <w:right w:val="single" w:color="auto" w:sz="4" w:space="0"/>
            </w:tcBorders>
            <w:vAlign w:val="center"/>
          </w:tcPr>
          <w:p w14:paraId="13BFA7DA">
            <w:pPr>
              <w:snapToGrid w:val="0"/>
              <w:spacing w:line="240" w:lineRule="auto"/>
              <w:ind w:firstLine="0" w:firstLineChars="0"/>
              <w:jc w:val="left"/>
              <w:rPr>
                <w:rFonts w:hint="eastAsia" w:ascii="仿宋" w:hAnsi="仿宋" w:eastAsia="仿宋" w:cs="仿宋"/>
                <w:sz w:val="24"/>
                <w:szCs w:val="24"/>
              </w:rPr>
            </w:pPr>
            <w:r>
              <w:rPr>
                <w:rFonts w:hint="eastAsia" w:ascii="仿宋" w:hAnsi="仿宋" w:eastAsia="仿宋" w:cs="仿宋"/>
                <w:sz w:val="24"/>
                <w:szCs w:val="24"/>
              </w:rPr>
              <w:t>tCO</w:t>
            </w:r>
            <w:r>
              <w:rPr>
                <w:rFonts w:hint="eastAsia" w:ascii="仿宋" w:hAnsi="仿宋" w:eastAsia="仿宋" w:cs="仿宋"/>
                <w:sz w:val="24"/>
                <w:szCs w:val="24"/>
                <w:vertAlign w:val="subscript"/>
              </w:rPr>
              <w:t>2</w:t>
            </w:r>
            <w:r>
              <w:rPr>
                <w:rFonts w:hint="eastAsia" w:ascii="仿宋" w:hAnsi="仿宋" w:eastAsia="仿宋" w:cs="仿宋"/>
                <w:sz w:val="24"/>
                <w:szCs w:val="24"/>
              </w:rPr>
              <w:t>/MWh</w:t>
            </w:r>
          </w:p>
        </w:tc>
      </w:tr>
      <w:tr w14:paraId="1BD08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2B9F5B75">
            <w:pPr>
              <w:snapToGrid w:val="0"/>
              <w:spacing w:line="240" w:lineRule="auto"/>
              <w:ind w:firstLine="0" w:firstLineChars="0"/>
              <w:jc w:val="center"/>
              <w:rPr>
                <w:rFonts w:hint="eastAsia" w:ascii="仿宋" w:hAnsi="仿宋" w:eastAsia="仿宋" w:cs="仿宋"/>
              </w:rPr>
            </w:pPr>
            <w:r>
              <w:rPr>
                <w:rFonts w:hint="eastAsia" w:ascii="仿宋" w:hAnsi="仿宋" w:eastAsia="仿宋" w:cs="仿宋"/>
                <w:b/>
                <w:bCs/>
                <w:sz w:val="24"/>
                <w:szCs w:val="24"/>
              </w:rPr>
              <w:t>数据来源</w:t>
            </w:r>
          </w:p>
        </w:tc>
        <w:tc>
          <w:tcPr>
            <w:tcW w:w="7080" w:type="dxa"/>
            <w:tcBorders>
              <w:top w:val="single" w:color="auto" w:sz="4" w:space="0"/>
              <w:left w:val="single" w:color="auto" w:sz="4" w:space="0"/>
              <w:bottom w:val="single" w:color="auto" w:sz="4" w:space="0"/>
              <w:right w:val="single" w:color="auto" w:sz="4" w:space="0"/>
            </w:tcBorders>
            <w:shd w:val="clear" w:color="auto" w:fill="auto"/>
            <w:vAlign w:val="center"/>
          </w:tcPr>
          <w:p w14:paraId="539AA9B1">
            <w:pPr>
              <w:snapToGrid w:val="0"/>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shd w:val="clear"/>
              </w:rPr>
              <w:t>《20</w:t>
            </w:r>
            <w:r>
              <w:rPr>
                <w:rFonts w:hint="eastAsia" w:ascii="仿宋" w:hAnsi="仿宋" w:eastAsia="仿宋" w:cs="仿宋"/>
                <w:sz w:val="24"/>
                <w:szCs w:val="24"/>
                <w:shd w:val="clear"/>
                <w:lang w:val="en-US" w:eastAsia="zh-CN"/>
              </w:rPr>
              <w:t>21</w:t>
            </w:r>
            <w:r>
              <w:rPr>
                <w:rFonts w:hint="eastAsia" w:ascii="仿宋" w:hAnsi="仿宋" w:eastAsia="仿宋" w:cs="仿宋"/>
                <w:sz w:val="24"/>
                <w:szCs w:val="24"/>
                <w:shd w:val="clear"/>
              </w:rPr>
              <w:t>年</w:t>
            </w:r>
            <w:r>
              <w:rPr>
                <w:rFonts w:hint="eastAsia" w:ascii="仿宋" w:hAnsi="仿宋" w:eastAsia="仿宋" w:cs="仿宋"/>
                <w:sz w:val="24"/>
                <w:szCs w:val="24"/>
                <w:shd w:val="clear"/>
                <w:lang w:val="en-US" w:eastAsia="zh-CN"/>
              </w:rPr>
              <w:t>电力二氧化碳排放因子</w:t>
            </w:r>
            <w:r>
              <w:rPr>
                <w:rFonts w:hint="eastAsia" w:ascii="仿宋" w:hAnsi="仿宋" w:eastAsia="仿宋" w:cs="仿宋"/>
                <w:sz w:val="24"/>
                <w:szCs w:val="24"/>
                <w:shd w:val="clear"/>
              </w:rPr>
              <w:t>》</w:t>
            </w:r>
          </w:p>
        </w:tc>
      </w:tr>
      <w:tr w14:paraId="612CC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024BE905">
            <w:pPr>
              <w:snapToGrid w:val="0"/>
              <w:spacing w:line="240" w:lineRule="auto"/>
              <w:ind w:firstLine="0" w:firstLineChars="0"/>
              <w:jc w:val="center"/>
              <w:rPr>
                <w:rFonts w:hint="eastAsia" w:ascii="仿宋" w:hAnsi="仿宋" w:eastAsia="仿宋" w:cs="仿宋"/>
              </w:rPr>
            </w:pPr>
            <w:r>
              <w:rPr>
                <w:rFonts w:hint="eastAsia" w:ascii="仿宋" w:hAnsi="仿宋" w:eastAsia="仿宋" w:cs="仿宋"/>
                <w:b/>
                <w:bCs/>
                <w:sz w:val="24"/>
                <w:szCs w:val="24"/>
              </w:rPr>
              <w:t>核查结论</w:t>
            </w:r>
          </w:p>
        </w:tc>
        <w:tc>
          <w:tcPr>
            <w:tcW w:w="7080" w:type="dxa"/>
            <w:tcBorders>
              <w:top w:val="single" w:color="auto" w:sz="4" w:space="0"/>
              <w:left w:val="single" w:color="auto" w:sz="4" w:space="0"/>
              <w:bottom w:val="single" w:color="auto" w:sz="4" w:space="0"/>
              <w:right w:val="single" w:color="auto" w:sz="4" w:space="0"/>
            </w:tcBorders>
            <w:shd w:val="clear" w:color="auto" w:fill="auto"/>
            <w:vAlign w:val="center"/>
          </w:tcPr>
          <w:p w14:paraId="4DE547E6">
            <w:pPr>
              <w:snapToGrid w:val="0"/>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核查组确认</w:t>
            </w:r>
            <w:r>
              <w:rPr>
                <w:rFonts w:hint="eastAsia" w:ascii="仿宋" w:hAnsi="仿宋" w:eastAsia="仿宋" w:cs="仿宋"/>
                <w:sz w:val="24"/>
              </w:rPr>
              <w:t>终版排放报告</w:t>
            </w:r>
            <w:r>
              <w:rPr>
                <w:rFonts w:hint="eastAsia" w:ascii="仿宋" w:hAnsi="仿宋" w:eastAsia="仿宋" w:cs="仿宋"/>
                <w:sz w:val="24"/>
                <w:szCs w:val="24"/>
              </w:rPr>
              <w:t>中的外购电力排放因子与</w:t>
            </w:r>
            <w:r>
              <w:rPr>
                <w:rFonts w:hint="eastAsia" w:ascii="仿宋" w:hAnsi="仿宋" w:eastAsia="仿宋" w:cs="仿宋"/>
                <w:sz w:val="24"/>
                <w:szCs w:val="24"/>
                <w:shd w:val="clear"/>
              </w:rPr>
              <w:t>《20</w:t>
            </w:r>
            <w:r>
              <w:rPr>
                <w:rFonts w:hint="eastAsia" w:ascii="仿宋" w:hAnsi="仿宋" w:eastAsia="仿宋" w:cs="仿宋"/>
                <w:sz w:val="24"/>
                <w:szCs w:val="24"/>
                <w:shd w:val="clear"/>
                <w:lang w:val="en-US" w:eastAsia="zh-CN"/>
              </w:rPr>
              <w:t>21</w:t>
            </w:r>
            <w:r>
              <w:rPr>
                <w:rFonts w:hint="eastAsia" w:ascii="仿宋" w:hAnsi="仿宋" w:eastAsia="仿宋" w:cs="仿宋"/>
                <w:sz w:val="24"/>
                <w:szCs w:val="24"/>
                <w:shd w:val="clear"/>
              </w:rPr>
              <w:t>年</w:t>
            </w:r>
            <w:r>
              <w:rPr>
                <w:rFonts w:hint="eastAsia" w:ascii="仿宋" w:hAnsi="仿宋" w:eastAsia="仿宋" w:cs="仿宋"/>
                <w:sz w:val="24"/>
                <w:szCs w:val="24"/>
                <w:shd w:val="clear"/>
                <w:lang w:val="en-US" w:eastAsia="zh-CN"/>
              </w:rPr>
              <w:t>电力二氧化碳排放因子</w:t>
            </w:r>
            <w:r>
              <w:rPr>
                <w:rFonts w:hint="eastAsia" w:ascii="仿宋" w:hAnsi="仿宋" w:eastAsia="仿宋" w:cs="仿宋"/>
                <w:sz w:val="24"/>
                <w:szCs w:val="24"/>
                <w:shd w:val="clear"/>
              </w:rPr>
              <w:t>》</w:t>
            </w:r>
            <w:r>
              <w:rPr>
                <w:rFonts w:hint="eastAsia" w:ascii="仿宋" w:hAnsi="仿宋" w:eastAsia="仿宋" w:cs="仿宋"/>
                <w:sz w:val="24"/>
                <w:szCs w:val="24"/>
              </w:rPr>
              <w:t>中最新的</w:t>
            </w:r>
            <w:r>
              <w:rPr>
                <w:rFonts w:hint="eastAsia" w:ascii="仿宋" w:hAnsi="仿宋" w:eastAsia="仿宋" w:cs="仿宋"/>
                <w:sz w:val="24"/>
                <w:szCs w:val="24"/>
                <w:lang w:val="en-US" w:eastAsia="zh-CN"/>
              </w:rPr>
              <w:t>华东</w:t>
            </w:r>
            <w:r>
              <w:rPr>
                <w:rFonts w:hint="eastAsia" w:ascii="仿宋" w:hAnsi="仿宋" w:eastAsia="仿宋" w:cs="仿宋"/>
                <w:sz w:val="24"/>
                <w:szCs w:val="24"/>
              </w:rPr>
              <w:t>区域电网排放因子缺省值一致。</w:t>
            </w:r>
          </w:p>
        </w:tc>
      </w:tr>
    </w:tbl>
    <w:p w14:paraId="459D6649">
      <w:pPr>
        <w:jc w:val="left"/>
        <w:rPr>
          <w:rFonts w:hint="eastAsia" w:ascii="仿宋" w:hAnsi="仿宋" w:eastAsia="仿宋" w:cs="仿宋"/>
          <w:bCs/>
          <w:snapToGrid/>
          <w:szCs w:val="24"/>
        </w:rPr>
      </w:pPr>
      <w:r>
        <w:rPr>
          <w:rFonts w:hint="eastAsia" w:ascii="仿宋" w:hAnsi="仿宋" w:eastAsia="仿宋" w:cs="仿宋"/>
          <w:bCs/>
          <w:snapToGrid/>
          <w:szCs w:val="24"/>
        </w:rPr>
        <w:t>综上所述，通过文件评审和现场访问，核查组确认排放报告中排放因子和计算系数数据及来源真实、可靠、正确，符合《核算指南》以及</w:t>
      </w:r>
      <w:r>
        <w:rPr>
          <w:rFonts w:hint="eastAsia" w:ascii="仿宋" w:hAnsi="仿宋" w:eastAsia="仿宋" w:cs="仿宋"/>
          <w:szCs w:val="28"/>
        </w:rPr>
        <w:t>备案的监测计划</w:t>
      </w:r>
      <w:r>
        <w:rPr>
          <w:rFonts w:hint="eastAsia" w:ascii="仿宋" w:hAnsi="仿宋" w:eastAsia="仿宋" w:cs="仿宋"/>
          <w:bCs/>
          <w:snapToGrid/>
          <w:szCs w:val="24"/>
        </w:rPr>
        <w:t>的要求。</w:t>
      </w:r>
    </w:p>
    <w:p w14:paraId="6DBCA0F6">
      <w:pPr>
        <w:pStyle w:val="4"/>
        <w:spacing w:beforeLines="50" w:afterLines="50"/>
        <w:rPr>
          <w:rFonts w:hint="eastAsia" w:ascii="仿宋" w:hAnsi="仿宋" w:eastAsia="仿宋" w:cs="仿宋"/>
          <w:szCs w:val="28"/>
        </w:rPr>
      </w:pPr>
      <w:bookmarkStart w:id="314" w:name="_Toc1203"/>
      <w:bookmarkStart w:id="315" w:name="_Toc503300128"/>
      <w:bookmarkStart w:id="316" w:name="_Toc23316"/>
      <w:bookmarkStart w:id="317" w:name="_Toc444196312"/>
      <w:bookmarkStart w:id="318" w:name="_Toc19790"/>
      <w:bookmarkStart w:id="319" w:name="_Toc3912_WPSOffice_Level3"/>
      <w:bookmarkStart w:id="320" w:name="_Toc444197203"/>
      <w:bookmarkStart w:id="321" w:name="_Toc9292"/>
      <w:bookmarkStart w:id="322" w:name="_Toc27224"/>
      <w:r>
        <w:rPr>
          <w:rFonts w:hint="eastAsia" w:ascii="仿宋" w:hAnsi="仿宋" w:eastAsia="仿宋" w:cs="仿宋"/>
          <w:szCs w:val="28"/>
        </w:rPr>
        <w:t>3.4.3 法人边界排放量的核查</w:t>
      </w:r>
      <w:bookmarkEnd w:id="314"/>
      <w:bookmarkEnd w:id="315"/>
      <w:bookmarkEnd w:id="316"/>
      <w:bookmarkEnd w:id="317"/>
      <w:bookmarkEnd w:id="318"/>
      <w:bookmarkEnd w:id="319"/>
      <w:bookmarkEnd w:id="320"/>
      <w:bookmarkEnd w:id="321"/>
      <w:bookmarkEnd w:id="322"/>
    </w:p>
    <w:p w14:paraId="28EF4DBC">
      <w:pPr>
        <w:widowControl/>
        <w:rPr>
          <w:rFonts w:hint="eastAsia" w:ascii="仿宋" w:hAnsi="仿宋" w:eastAsia="仿宋" w:cs="仿宋"/>
          <w:snapToGrid/>
          <w:szCs w:val="28"/>
        </w:rPr>
      </w:pPr>
      <w:r>
        <w:rPr>
          <w:rFonts w:hint="eastAsia" w:ascii="仿宋" w:hAnsi="仿宋" w:eastAsia="仿宋" w:cs="仿宋"/>
          <w:snapToGrid/>
          <w:szCs w:val="28"/>
        </w:rPr>
        <w:t>通过对受核查方提交的2023年度排放报告进行核查，核查组对排放报告进行验算后确认受核查方的排放量计算公式正确，排放量的累加正确，排放量的计算可再现。</w:t>
      </w:r>
    </w:p>
    <w:p w14:paraId="3FA54D1E">
      <w:pPr>
        <w:widowControl/>
        <w:spacing w:beforeLines="50"/>
        <w:ind w:firstLine="1968" w:firstLineChars="700"/>
        <w:jc w:val="both"/>
        <w:rPr>
          <w:rFonts w:hint="eastAsia" w:ascii="仿宋" w:hAnsi="仿宋" w:eastAsia="仿宋" w:cs="仿宋"/>
          <w:b/>
          <w:snapToGrid/>
          <w:szCs w:val="21"/>
          <w:highlight w:val="none"/>
        </w:rPr>
      </w:pPr>
      <w:r>
        <w:rPr>
          <w:rFonts w:hint="eastAsia" w:ascii="仿宋" w:hAnsi="仿宋" w:eastAsia="仿宋" w:cs="仿宋"/>
          <w:b/>
          <w:snapToGrid/>
          <w:szCs w:val="21"/>
        </w:rPr>
        <w:t>表3-</w:t>
      </w:r>
      <w:r>
        <w:rPr>
          <w:rFonts w:hint="eastAsia" w:ascii="仿宋" w:hAnsi="仿宋" w:eastAsia="仿宋" w:cs="仿宋"/>
          <w:b/>
          <w:snapToGrid/>
          <w:szCs w:val="21"/>
          <w:lang w:val="en-US" w:eastAsia="zh-CN"/>
        </w:rPr>
        <w:t>9</w:t>
      </w:r>
      <w:r>
        <w:rPr>
          <w:rFonts w:hint="eastAsia" w:ascii="仿宋" w:hAnsi="仿宋" w:eastAsia="仿宋" w:cs="仿宋"/>
          <w:b/>
          <w:snapToGrid/>
          <w:szCs w:val="21"/>
        </w:rPr>
        <w:t xml:space="preserve">  </w:t>
      </w:r>
      <w:r>
        <w:rPr>
          <w:rFonts w:hint="eastAsia" w:ascii="仿宋" w:hAnsi="仿宋" w:eastAsia="仿宋" w:cs="仿宋"/>
          <w:b/>
          <w:snapToGrid/>
          <w:szCs w:val="21"/>
          <w:highlight w:val="none"/>
          <w:lang w:val="en-US" w:eastAsia="zh-CN"/>
        </w:rPr>
        <w:t>净购入使用热力</w:t>
      </w:r>
      <w:r>
        <w:rPr>
          <w:rFonts w:hint="eastAsia" w:ascii="仿宋" w:hAnsi="仿宋" w:eastAsia="仿宋" w:cs="仿宋"/>
          <w:b/>
          <w:snapToGrid/>
          <w:szCs w:val="21"/>
          <w:highlight w:val="none"/>
        </w:rPr>
        <w:t>产生的排放量计算</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2035"/>
        <w:gridCol w:w="2661"/>
        <w:gridCol w:w="2145"/>
      </w:tblGrid>
      <w:tr w14:paraId="1848B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Merge w:val="restart"/>
            <w:vAlign w:val="center"/>
          </w:tcPr>
          <w:p w14:paraId="34DDE1EC">
            <w:pPr>
              <w:spacing w:line="240" w:lineRule="auto"/>
              <w:ind w:firstLine="0" w:firstLineChars="0"/>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年份</w:t>
            </w:r>
          </w:p>
        </w:tc>
        <w:tc>
          <w:tcPr>
            <w:tcW w:w="2035" w:type="dxa"/>
            <w:vAlign w:val="center"/>
          </w:tcPr>
          <w:p w14:paraId="3760D8A9">
            <w:pPr>
              <w:spacing w:line="240" w:lineRule="auto"/>
              <w:ind w:firstLine="0" w:firstLineChars="0"/>
              <w:jc w:val="center"/>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净购入使用热力</w:t>
            </w:r>
          </w:p>
        </w:tc>
        <w:tc>
          <w:tcPr>
            <w:tcW w:w="2661" w:type="dxa"/>
            <w:vAlign w:val="center"/>
          </w:tcPr>
          <w:p w14:paraId="2BD73E44">
            <w:pPr>
              <w:spacing w:line="240" w:lineRule="auto"/>
              <w:ind w:firstLine="0" w:firstLineChars="0"/>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shd w:val="clear"/>
              </w:rPr>
              <w:t>外购</w:t>
            </w:r>
            <w:r>
              <w:rPr>
                <w:rFonts w:hint="eastAsia" w:ascii="仿宋" w:hAnsi="仿宋" w:eastAsia="仿宋" w:cs="仿宋"/>
                <w:b/>
                <w:bCs/>
                <w:sz w:val="24"/>
                <w:szCs w:val="24"/>
                <w:highlight w:val="none"/>
                <w:shd w:val="clear"/>
                <w:lang w:val="en-US" w:eastAsia="zh-CN"/>
              </w:rPr>
              <w:t>热力</w:t>
            </w:r>
            <w:r>
              <w:rPr>
                <w:rFonts w:hint="eastAsia" w:ascii="仿宋" w:hAnsi="仿宋" w:eastAsia="仿宋" w:cs="仿宋"/>
                <w:b/>
                <w:bCs/>
                <w:sz w:val="24"/>
                <w:szCs w:val="24"/>
                <w:highlight w:val="none"/>
                <w:shd w:val="clear"/>
              </w:rPr>
              <w:t>排放因子</w:t>
            </w:r>
          </w:p>
        </w:tc>
        <w:tc>
          <w:tcPr>
            <w:tcW w:w="2145" w:type="dxa"/>
            <w:vAlign w:val="center"/>
          </w:tcPr>
          <w:p w14:paraId="4ED6B486">
            <w:pPr>
              <w:spacing w:line="240" w:lineRule="auto"/>
              <w:ind w:firstLine="0" w:firstLineChars="0"/>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CO</w:t>
            </w:r>
            <w:r>
              <w:rPr>
                <w:rFonts w:hint="eastAsia" w:ascii="仿宋" w:hAnsi="仿宋" w:eastAsia="仿宋" w:cs="仿宋"/>
                <w:b/>
                <w:bCs/>
                <w:sz w:val="24"/>
                <w:szCs w:val="24"/>
                <w:highlight w:val="none"/>
                <w:vertAlign w:val="subscript"/>
              </w:rPr>
              <w:t>2</w:t>
            </w:r>
            <w:r>
              <w:rPr>
                <w:rFonts w:hint="eastAsia" w:ascii="仿宋" w:hAnsi="仿宋" w:eastAsia="仿宋" w:cs="仿宋"/>
                <w:b/>
                <w:bCs/>
                <w:sz w:val="24"/>
                <w:szCs w:val="24"/>
                <w:highlight w:val="none"/>
              </w:rPr>
              <w:t>排放量</w:t>
            </w:r>
          </w:p>
        </w:tc>
      </w:tr>
      <w:tr w14:paraId="734FF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Merge w:val="continue"/>
            <w:vAlign w:val="center"/>
          </w:tcPr>
          <w:p w14:paraId="1EF0F1E9">
            <w:pPr>
              <w:spacing w:line="240" w:lineRule="auto"/>
              <w:ind w:firstLine="0" w:firstLineChars="0"/>
              <w:jc w:val="center"/>
              <w:rPr>
                <w:rFonts w:hint="eastAsia" w:ascii="仿宋" w:hAnsi="仿宋" w:eastAsia="仿宋" w:cs="仿宋"/>
                <w:b/>
                <w:bCs/>
                <w:sz w:val="24"/>
                <w:szCs w:val="24"/>
              </w:rPr>
            </w:pPr>
          </w:p>
        </w:tc>
        <w:tc>
          <w:tcPr>
            <w:tcW w:w="2035" w:type="dxa"/>
            <w:vAlign w:val="center"/>
          </w:tcPr>
          <w:p w14:paraId="3E87806A">
            <w:pPr>
              <w:spacing w:line="240" w:lineRule="auto"/>
              <w:ind w:firstLine="0" w:firstLineChars="0"/>
              <w:jc w:val="center"/>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t</w:t>
            </w:r>
          </w:p>
        </w:tc>
        <w:tc>
          <w:tcPr>
            <w:tcW w:w="2661" w:type="dxa"/>
            <w:vAlign w:val="center"/>
          </w:tcPr>
          <w:p w14:paraId="75512CF1">
            <w:pPr>
              <w:spacing w:line="240" w:lineRule="auto"/>
              <w:ind w:firstLine="0" w:firstLineChars="0"/>
              <w:jc w:val="center"/>
              <w:rPr>
                <w:rFonts w:hint="default" w:ascii="仿宋" w:hAnsi="仿宋" w:eastAsia="仿宋" w:cs="仿宋"/>
                <w:b/>
                <w:bCs/>
                <w:sz w:val="24"/>
                <w:szCs w:val="24"/>
                <w:lang w:val="en-US"/>
              </w:rPr>
            </w:pPr>
            <w:r>
              <w:rPr>
                <w:rFonts w:hint="eastAsia" w:ascii="仿宋" w:hAnsi="仿宋" w:eastAsia="仿宋" w:cs="仿宋"/>
                <w:b/>
                <w:bCs/>
                <w:sz w:val="24"/>
                <w:szCs w:val="24"/>
              </w:rPr>
              <w:t>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e/</w:t>
            </w:r>
            <w:r>
              <w:rPr>
                <w:rFonts w:hint="eastAsia" w:ascii="仿宋" w:hAnsi="仿宋" w:eastAsia="仿宋" w:cs="仿宋"/>
                <w:b/>
                <w:bCs/>
                <w:sz w:val="24"/>
                <w:szCs w:val="24"/>
                <w:lang w:val="en-US" w:eastAsia="zh-CN"/>
              </w:rPr>
              <w:t>GJ</w:t>
            </w:r>
          </w:p>
        </w:tc>
        <w:tc>
          <w:tcPr>
            <w:tcW w:w="2145" w:type="dxa"/>
            <w:vAlign w:val="center"/>
          </w:tcPr>
          <w:p w14:paraId="19740C4B">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e</w:t>
            </w:r>
          </w:p>
        </w:tc>
      </w:tr>
      <w:tr w14:paraId="6D097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Align w:val="center"/>
          </w:tcPr>
          <w:p w14:paraId="32BD8C48">
            <w:pPr>
              <w:spacing w:line="240" w:lineRule="auto"/>
              <w:ind w:firstLine="0" w:firstLineChars="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2023</w:t>
            </w:r>
          </w:p>
        </w:tc>
        <w:tc>
          <w:tcPr>
            <w:tcW w:w="2035" w:type="dxa"/>
            <w:vAlign w:val="center"/>
          </w:tcPr>
          <w:p w14:paraId="1FEC4614">
            <w:pPr>
              <w:spacing w:line="240" w:lineRule="auto"/>
              <w:ind w:firstLine="0" w:firstLineChars="0"/>
              <w:jc w:val="center"/>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6702.45</w:t>
            </w:r>
          </w:p>
        </w:tc>
        <w:tc>
          <w:tcPr>
            <w:tcW w:w="2661" w:type="dxa"/>
            <w:vAlign w:val="center"/>
          </w:tcPr>
          <w:p w14:paraId="7B7519F7">
            <w:pPr>
              <w:spacing w:line="240" w:lineRule="auto"/>
              <w:ind w:firstLine="0" w:firstLineChars="0"/>
              <w:jc w:val="center"/>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0.</w:t>
            </w:r>
            <w:r>
              <w:rPr>
                <w:rFonts w:hint="eastAsia" w:ascii="仿宋" w:hAnsi="仿宋" w:eastAsia="仿宋" w:cs="仿宋"/>
                <w:color w:val="000000" w:themeColor="text1"/>
                <w:sz w:val="24"/>
                <w:szCs w:val="24"/>
                <w:lang w:val="en-US" w:eastAsia="zh-CN"/>
                <w14:textFill>
                  <w14:solidFill>
                    <w14:schemeClr w14:val="tx1"/>
                  </w14:solidFill>
                </w14:textFill>
              </w:rPr>
              <w:t>11</w:t>
            </w:r>
          </w:p>
        </w:tc>
        <w:tc>
          <w:tcPr>
            <w:tcW w:w="2145" w:type="dxa"/>
            <w:vAlign w:val="center"/>
          </w:tcPr>
          <w:p w14:paraId="78164C2C">
            <w:pPr>
              <w:spacing w:line="240" w:lineRule="auto"/>
              <w:ind w:firstLine="0" w:firstLineChars="0"/>
              <w:jc w:val="center"/>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737.27</w:t>
            </w:r>
          </w:p>
        </w:tc>
      </w:tr>
    </w:tbl>
    <w:p w14:paraId="0BB1BF8C">
      <w:pPr>
        <w:widowControl/>
        <w:spacing w:beforeLines="50"/>
        <w:ind w:firstLine="1968" w:firstLineChars="700"/>
        <w:jc w:val="both"/>
        <w:rPr>
          <w:rFonts w:hint="eastAsia" w:ascii="仿宋" w:hAnsi="仿宋" w:eastAsia="仿宋" w:cs="仿宋"/>
          <w:b/>
          <w:snapToGrid/>
          <w:color w:val="000000" w:themeColor="text1"/>
          <w:szCs w:val="21"/>
          <w14:textFill>
            <w14:solidFill>
              <w14:schemeClr w14:val="tx1"/>
            </w14:solidFill>
          </w14:textFill>
        </w:rPr>
      </w:pPr>
      <w:r>
        <w:rPr>
          <w:rFonts w:hint="eastAsia" w:ascii="仿宋" w:hAnsi="仿宋" w:eastAsia="仿宋" w:cs="仿宋"/>
          <w:b/>
          <w:snapToGrid/>
          <w:color w:val="000000" w:themeColor="text1"/>
          <w:szCs w:val="21"/>
          <w14:textFill>
            <w14:solidFill>
              <w14:schemeClr w14:val="tx1"/>
            </w14:solidFill>
          </w14:textFill>
        </w:rPr>
        <w:t>表3-1</w:t>
      </w:r>
      <w:r>
        <w:rPr>
          <w:rFonts w:hint="eastAsia" w:ascii="仿宋" w:hAnsi="仿宋" w:eastAsia="仿宋" w:cs="仿宋"/>
          <w:b/>
          <w:snapToGrid/>
          <w:color w:val="000000" w:themeColor="text1"/>
          <w:szCs w:val="21"/>
          <w:lang w:val="en-US" w:eastAsia="zh-CN"/>
          <w14:textFill>
            <w14:solidFill>
              <w14:schemeClr w14:val="tx1"/>
            </w14:solidFill>
          </w14:textFill>
        </w:rPr>
        <w:t>0</w:t>
      </w:r>
      <w:r>
        <w:rPr>
          <w:rFonts w:hint="eastAsia" w:ascii="仿宋" w:hAnsi="仿宋" w:eastAsia="仿宋" w:cs="仿宋"/>
          <w:b/>
          <w:snapToGrid/>
          <w:color w:val="000000" w:themeColor="text1"/>
          <w:szCs w:val="21"/>
          <w14:textFill>
            <w14:solidFill>
              <w14:schemeClr w14:val="tx1"/>
            </w14:solidFill>
          </w14:textFill>
        </w:rPr>
        <w:t xml:space="preserve"> 净购入使用电力产生的排放量计算</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2035"/>
        <w:gridCol w:w="2661"/>
        <w:gridCol w:w="2145"/>
      </w:tblGrid>
      <w:tr w14:paraId="76013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Merge w:val="restart"/>
            <w:vAlign w:val="center"/>
          </w:tcPr>
          <w:p w14:paraId="202FF20B">
            <w:pPr>
              <w:spacing w:line="240" w:lineRule="auto"/>
              <w:ind w:firstLine="0" w:firstLineChars="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年份</w:t>
            </w:r>
          </w:p>
        </w:tc>
        <w:tc>
          <w:tcPr>
            <w:tcW w:w="2035" w:type="dxa"/>
            <w:vAlign w:val="center"/>
          </w:tcPr>
          <w:p w14:paraId="7B306B0C">
            <w:pPr>
              <w:spacing w:line="240" w:lineRule="auto"/>
              <w:ind w:firstLine="0" w:firstLineChars="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净购入使用电力</w:t>
            </w:r>
          </w:p>
        </w:tc>
        <w:tc>
          <w:tcPr>
            <w:tcW w:w="2661" w:type="dxa"/>
            <w:vAlign w:val="center"/>
          </w:tcPr>
          <w:p w14:paraId="6E0B414B">
            <w:pPr>
              <w:spacing w:line="240" w:lineRule="auto"/>
              <w:ind w:firstLine="0" w:firstLineChars="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外购电力排放因子</w:t>
            </w:r>
          </w:p>
        </w:tc>
        <w:tc>
          <w:tcPr>
            <w:tcW w:w="2145" w:type="dxa"/>
            <w:vAlign w:val="center"/>
          </w:tcPr>
          <w:p w14:paraId="31D4BC86">
            <w:pPr>
              <w:spacing w:line="240" w:lineRule="auto"/>
              <w:ind w:firstLine="0" w:firstLineChars="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CO</w:t>
            </w:r>
            <w:r>
              <w:rPr>
                <w:rFonts w:hint="eastAsia" w:ascii="仿宋" w:hAnsi="仿宋" w:eastAsia="仿宋" w:cs="仿宋"/>
                <w:b/>
                <w:bCs/>
                <w:color w:val="000000" w:themeColor="text1"/>
                <w:sz w:val="24"/>
                <w:szCs w:val="24"/>
                <w:vertAlign w:val="subscript"/>
                <w14:textFill>
                  <w14:solidFill>
                    <w14:schemeClr w14:val="tx1"/>
                  </w14:solidFill>
                </w14:textFill>
              </w:rPr>
              <w:t>2</w:t>
            </w:r>
            <w:r>
              <w:rPr>
                <w:rFonts w:hint="eastAsia" w:ascii="仿宋" w:hAnsi="仿宋" w:eastAsia="仿宋" w:cs="仿宋"/>
                <w:b/>
                <w:bCs/>
                <w:color w:val="000000" w:themeColor="text1"/>
                <w:sz w:val="24"/>
                <w:szCs w:val="24"/>
                <w14:textFill>
                  <w14:solidFill>
                    <w14:schemeClr w14:val="tx1"/>
                  </w14:solidFill>
                </w14:textFill>
              </w:rPr>
              <w:t>排放量</w:t>
            </w:r>
          </w:p>
        </w:tc>
      </w:tr>
      <w:tr w14:paraId="58D64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Merge w:val="continue"/>
            <w:vAlign w:val="center"/>
          </w:tcPr>
          <w:p w14:paraId="44BCEC52">
            <w:pPr>
              <w:spacing w:line="240" w:lineRule="auto"/>
              <w:ind w:firstLine="0" w:firstLineChars="0"/>
              <w:jc w:val="center"/>
              <w:rPr>
                <w:rFonts w:hint="eastAsia" w:ascii="仿宋" w:hAnsi="仿宋" w:eastAsia="仿宋" w:cs="仿宋"/>
                <w:b/>
                <w:bCs/>
                <w:color w:val="000000" w:themeColor="text1"/>
                <w:sz w:val="24"/>
                <w:szCs w:val="24"/>
                <w14:textFill>
                  <w14:solidFill>
                    <w14:schemeClr w14:val="tx1"/>
                  </w14:solidFill>
                </w14:textFill>
              </w:rPr>
            </w:pPr>
          </w:p>
        </w:tc>
        <w:tc>
          <w:tcPr>
            <w:tcW w:w="2035" w:type="dxa"/>
            <w:vAlign w:val="center"/>
          </w:tcPr>
          <w:p w14:paraId="227D3503">
            <w:pPr>
              <w:spacing w:line="240" w:lineRule="auto"/>
              <w:ind w:firstLine="0" w:firstLineChars="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MWh</w:t>
            </w:r>
          </w:p>
        </w:tc>
        <w:tc>
          <w:tcPr>
            <w:tcW w:w="2661" w:type="dxa"/>
            <w:vAlign w:val="center"/>
          </w:tcPr>
          <w:p w14:paraId="5E7551D8">
            <w:pPr>
              <w:spacing w:line="240" w:lineRule="auto"/>
              <w:ind w:firstLine="0" w:firstLineChars="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tCO</w:t>
            </w:r>
            <w:r>
              <w:rPr>
                <w:rFonts w:hint="eastAsia" w:ascii="仿宋" w:hAnsi="仿宋" w:eastAsia="仿宋" w:cs="仿宋"/>
                <w:b/>
                <w:bCs/>
                <w:color w:val="000000" w:themeColor="text1"/>
                <w:sz w:val="24"/>
                <w:szCs w:val="24"/>
                <w:vertAlign w:val="subscript"/>
                <w14:textFill>
                  <w14:solidFill>
                    <w14:schemeClr w14:val="tx1"/>
                  </w14:solidFill>
                </w14:textFill>
              </w:rPr>
              <w:t>2</w:t>
            </w:r>
            <w:r>
              <w:rPr>
                <w:rFonts w:hint="eastAsia" w:ascii="仿宋" w:hAnsi="仿宋" w:eastAsia="仿宋" w:cs="仿宋"/>
                <w:b/>
                <w:bCs/>
                <w:color w:val="000000" w:themeColor="text1"/>
                <w:sz w:val="24"/>
                <w:szCs w:val="24"/>
                <w14:textFill>
                  <w14:solidFill>
                    <w14:schemeClr w14:val="tx1"/>
                  </w14:solidFill>
                </w14:textFill>
              </w:rPr>
              <w:t>e/MWh</w:t>
            </w:r>
          </w:p>
        </w:tc>
        <w:tc>
          <w:tcPr>
            <w:tcW w:w="2145" w:type="dxa"/>
            <w:vAlign w:val="center"/>
          </w:tcPr>
          <w:p w14:paraId="290969CD">
            <w:pPr>
              <w:spacing w:line="240" w:lineRule="auto"/>
              <w:ind w:firstLine="0" w:firstLineChars="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tCO</w:t>
            </w:r>
            <w:r>
              <w:rPr>
                <w:rFonts w:hint="eastAsia" w:ascii="仿宋" w:hAnsi="仿宋" w:eastAsia="仿宋" w:cs="仿宋"/>
                <w:b/>
                <w:bCs/>
                <w:color w:val="000000" w:themeColor="text1"/>
                <w:sz w:val="24"/>
                <w:szCs w:val="24"/>
                <w:vertAlign w:val="subscript"/>
                <w14:textFill>
                  <w14:solidFill>
                    <w14:schemeClr w14:val="tx1"/>
                  </w14:solidFill>
                </w14:textFill>
              </w:rPr>
              <w:t>2</w:t>
            </w:r>
            <w:r>
              <w:rPr>
                <w:rFonts w:hint="eastAsia" w:ascii="仿宋" w:hAnsi="仿宋" w:eastAsia="仿宋" w:cs="仿宋"/>
                <w:b/>
                <w:bCs/>
                <w:color w:val="000000" w:themeColor="text1"/>
                <w:sz w:val="24"/>
                <w:szCs w:val="24"/>
                <w14:textFill>
                  <w14:solidFill>
                    <w14:schemeClr w14:val="tx1"/>
                  </w14:solidFill>
                </w14:textFill>
              </w:rPr>
              <w:t>e</w:t>
            </w:r>
          </w:p>
        </w:tc>
      </w:tr>
      <w:tr w14:paraId="6375B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Align w:val="center"/>
          </w:tcPr>
          <w:p w14:paraId="2F73A958">
            <w:pPr>
              <w:spacing w:line="240" w:lineRule="auto"/>
              <w:ind w:firstLine="0" w:firstLineChars="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2023</w:t>
            </w:r>
          </w:p>
        </w:tc>
        <w:tc>
          <w:tcPr>
            <w:tcW w:w="2035" w:type="dxa"/>
            <w:vAlign w:val="center"/>
          </w:tcPr>
          <w:p w14:paraId="05978B0A">
            <w:pPr>
              <w:spacing w:line="240" w:lineRule="auto"/>
              <w:ind w:firstLine="0" w:firstLineChars="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2158</w:t>
            </w:r>
            <w:r>
              <w:rPr>
                <w:rFonts w:hint="eastAsia" w:ascii="仿宋" w:hAnsi="仿宋" w:eastAsia="仿宋" w:cs="仿宋"/>
                <w:color w:val="000000" w:themeColor="text1"/>
                <w:sz w:val="24"/>
                <w:szCs w:val="24"/>
                <w:lang w:val="en-US"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553</w:t>
            </w:r>
          </w:p>
        </w:tc>
        <w:tc>
          <w:tcPr>
            <w:tcW w:w="2661" w:type="dxa"/>
            <w:vAlign w:val="center"/>
          </w:tcPr>
          <w:p w14:paraId="7B6B1238">
            <w:pPr>
              <w:spacing w:line="240" w:lineRule="auto"/>
              <w:ind w:firstLine="0" w:firstLineChars="0"/>
              <w:jc w:val="center"/>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0.</w:t>
            </w:r>
            <w:r>
              <w:rPr>
                <w:rFonts w:hint="eastAsia" w:ascii="仿宋" w:hAnsi="仿宋" w:eastAsia="仿宋" w:cs="仿宋"/>
                <w:color w:val="000000" w:themeColor="text1"/>
                <w:sz w:val="24"/>
                <w:szCs w:val="24"/>
                <w:lang w:val="en-US" w:eastAsia="zh-CN"/>
                <w14:textFill>
                  <w14:solidFill>
                    <w14:schemeClr w14:val="tx1"/>
                  </w14:solidFill>
                </w14:textFill>
              </w:rPr>
              <w:t>5992</w:t>
            </w:r>
          </w:p>
        </w:tc>
        <w:tc>
          <w:tcPr>
            <w:tcW w:w="2145" w:type="dxa"/>
            <w:vAlign w:val="center"/>
          </w:tcPr>
          <w:p w14:paraId="04BA0768">
            <w:pPr>
              <w:spacing w:line="240" w:lineRule="auto"/>
              <w:ind w:firstLine="0" w:firstLineChars="0"/>
              <w:jc w:val="center"/>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1293.40</w:t>
            </w:r>
          </w:p>
        </w:tc>
      </w:tr>
    </w:tbl>
    <w:p w14:paraId="2640761B">
      <w:pPr>
        <w:widowControl/>
        <w:spacing w:beforeLines="50"/>
        <w:ind w:firstLine="1968" w:firstLineChars="700"/>
        <w:jc w:val="both"/>
        <w:rPr>
          <w:rFonts w:hint="eastAsia" w:ascii="仿宋" w:hAnsi="仿宋" w:eastAsia="仿宋" w:cs="仿宋"/>
          <w:b/>
          <w:snapToGrid/>
          <w:szCs w:val="21"/>
        </w:rPr>
      </w:pPr>
      <w:r>
        <w:rPr>
          <w:rFonts w:hint="eastAsia" w:ascii="仿宋" w:hAnsi="仿宋" w:eastAsia="仿宋" w:cs="仿宋"/>
          <w:b/>
          <w:snapToGrid/>
          <w:szCs w:val="21"/>
        </w:rPr>
        <w:t>表3-1</w:t>
      </w:r>
      <w:r>
        <w:rPr>
          <w:rFonts w:hint="eastAsia" w:ascii="仿宋" w:hAnsi="仿宋" w:eastAsia="仿宋" w:cs="仿宋"/>
          <w:b/>
          <w:snapToGrid/>
          <w:szCs w:val="21"/>
          <w:lang w:val="en-US" w:eastAsia="zh-CN"/>
        </w:rPr>
        <w:t>1</w:t>
      </w:r>
      <w:r>
        <w:rPr>
          <w:rFonts w:hint="eastAsia" w:ascii="仿宋" w:hAnsi="仿宋" w:eastAsia="仿宋" w:cs="仿宋"/>
          <w:b/>
          <w:snapToGrid/>
          <w:szCs w:val="21"/>
        </w:rPr>
        <w:t xml:space="preserve"> 受</w:t>
      </w:r>
      <w:r>
        <w:rPr>
          <w:rFonts w:hint="eastAsia" w:ascii="仿宋" w:hAnsi="仿宋" w:eastAsia="仿宋" w:cs="仿宋"/>
          <w:b/>
          <w:bCs/>
          <w:snapToGrid/>
          <w:szCs w:val="24"/>
        </w:rPr>
        <w:t>核查</w:t>
      </w:r>
      <w:r>
        <w:rPr>
          <w:rFonts w:hint="eastAsia" w:ascii="仿宋" w:hAnsi="仿宋" w:eastAsia="仿宋" w:cs="仿宋"/>
          <w:b/>
          <w:snapToGrid/>
          <w:szCs w:val="21"/>
        </w:rPr>
        <w:t>方排放量汇总</w:t>
      </w:r>
    </w:p>
    <w:tbl>
      <w:tblPr>
        <w:tblStyle w:val="27"/>
        <w:tblW w:w="5000" w:type="pct"/>
        <w:jc w:val="center"/>
        <w:tblLayout w:type="autofit"/>
        <w:tblCellMar>
          <w:top w:w="0" w:type="dxa"/>
          <w:left w:w="108" w:type="dxa"/>
          <w:bottom w:w="0" w:type="dxa"/>
          <w:right w:w="108" w:type="dxa"/>
        </w:tblCellMar>
      </w:tblPr>
      <w:tblGrid>
        <w:gridCol w:w="6236"/>
        <w:gridCol w:w="2286"/>
      </w:tblGrid>
      <w:tr w14:paraId="564CDE27">
        <w:tblPrEx>
          <w:tblCellMar>
            <w:top w:w="0" w:type="dxa"/>
            <w:left w:w="108" w:type="dxa"/>
            <w:bottom w:w="0" w:type="dxa"/>
            <w:right w:w="108" w:type="dxa"/>
          </w:tblCellMar>
        </w:tblPrEx>
        <w:trPr>
          <w:trHeight w:val="397" w:hRule="atLeast"/>
          <w:jc w:val="center"/>
        </w:trPr>
        <w:tc>
          <w:tcPr>
            <w:tcW w:w="3658" w:type="pct"/>
            <w:tcBorders>
              <w:top w:val="single" w:color="auto" w:sz="4" w:space="0"/>
              <w:left w:val="single" w:color="auto" w:sz="4" w:space="0"/>
              <w:bottom w:val="single" w:color="auto" w:sz="4" w:space="0"/>
              <w:right w:val="single" w:color="auto" w:sz="4" w:space="0"/>
            </w:tcBorders>
            <w:shd w:val="clear" w:color="000000" w:fill="FFFFFF"/>
            <w:vAlign w:val="center"/>
          </w:tcPr>
          <w:p w14:paraId="0C51472D">
            <w:pPr>
              <w:widowControl/>
              <w:spacing w:line="240" w:lineRule="auto"/>
              <w:ind w:firstLine="0" w:firstLineChars="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排放源类别</w:t>
            </w:r>
          </w:p>
        </w:tc>
        <w:tc>
          <w:tcPr>
            <w:tcW w:w="1341" w:type="pct"/>
            <w:tcBorders>
              <w:top w:val="single" w:color="auto" w:sz="4" w:space="0"/>
              <w:left w:val="nil"/>
              <w:bottom w:val="single" w:color="auto" w:sz="4" w:space="0"/>
              <w:right w:val="single" w:color="auto" w:sz="4" w:space="0"/>
            </w:tcBorders>
            <w:shd w:val="clear" w:color="000000" w:fill="FFFFFF"/>
            <w:vAlign w:val="center"/>
          </w:tcPr>
          <w:p w14:paraId="2FBEDC2E">
            <w:pPr>
              <w:widowControl/>
              <w:spacing w:line="240" w:lineRule="auto"/>
              <w:ind w:firstLine="0" w:firstLineChars="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2023年</w:t>
            </w:r>
          </w:p>
        </w:tc>
      </w:tr>
      <w:tr w14:paraId="6048D61B">
        <w:tblPrEx>
          <w:tblCellMar>
            <w:top w:w="0" w:type="dxa"/>
            <w:left w:w="108" w:type="dxa"/>
            <w:bottom w:w="0" w:type="dxa"/>
            <w:right w:w="108" w:type="dxa"/>
          </w:tblCellMar>
        </w:tblPrEx>
        <w:trPr>
          <w:trHeight w:val="397" w:hRule="atLeast"/>
          <w:jc w:val="center"/>
        </w:trPr>
        <w:tc>
          <w:tcPr>
            <w:tcW w:w="3658" w:type="pct"/>
            <w:tcBorders>
              <w:top w:val="single" w:color="auto" w:sz="4" w:space="0"/>
              <w:left w:val="single" w:color="auto" w:sz="4" w:space="0"/>
              <w:bottom w:val="single" w:color="auto" w:sz="4" w:space="0"/>
              <w:right w:val="single" w:color="auto" w:sz="4" w:space="0"/>
            </w:tcBorders>
            <w:shd w:val="clear" w:color="000000" w:fill="auto"/>
            <w:vAlign w:val="center"/>
          </w:tcPr>
          <w:p w14:paraId="1E608C75">
            <w:pPr>
              <w:pStyle w:val="62"/>
              <w:adjustRightInd/>
              <w:rPr>
                <w:rFonts w:hint="eastAsia" w:ascii="仿宋" w:hAnsi="仿宋" w:eastAsia="仿宋" w:cs="仿宋"/>
                <w:b/>
                <w:bCs/>
                <w:snapToGrid w:val="0"/>
                <w:color w:val="auto"/>
              </w:rPr>
            </w:pPr>
            <w:r>
              <w:rPr>
                <w:rFonts w:hint="eastAsia" w:ascii="仿宋" w:hAnsi="仿宋" w:eastAsia="仿宋" w:cs="仿宋"/>
                <w:b/>
                <w:bCs/>
                <w:snapToGrid w:val="0"/>
                <w:color w:val="auto"/>
              </w:rPr>
              <w:t>化石燃料燃烧排放量(tCO2e）</w:t>
            </w:r>
          </w:p>
        </w:tc>
        <w:tc>
          <w:tcPr>
            <w:tcW w:w="1341" w:type="pct"/>
            <w:tcBorders>
              <w:top w:val="single" w:color="auto" w:sz="4" w:space="0"/>
              <w:left w:val="nil"/>
              <w:bottom w:val="single" w:color="auto" w:sz="4" w:space="0"/>
              <w:right w:val="single" w:color="auto" w:sz="4" w:space="0"/>
            </w:tcBorders>
            <w:shd w:val="clear" w:color="000000" w:fill="auto"/>
            <w:vAlign w:val="center"/>
          </w:tcPr>
          <w:p w14:paraId="337AA65D">
            <w:pPr>
              <w:spacing w:line="240" w:lineRule="auto"/>
              <w:ind w:firstLine="0" w:firstLineChars="0"/>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w:t>
            </w:r>
          </w:p>
        </w:tc>
      </w:tr>
      <w:tr w14:paraId="3CCCB7EF">
        <w:tblPrEx>
          <w:tblCellMar>
            <w:top w:w="0" w:type="dxa"/>
            <w:left w:w="108" w:type="dxa"/>
            <w:bottom w:w="0" w:type="dxa"/>
            <w:right w:w="108" w:type="dxa"/>
          </w:tblCellMar>
        </w:tblPrEx>
        <w:trPr>
          <w:trHeight w:val="397" w:hRule="atLeast"/>
          <w:jc w:val="center"/>
        </w:trPr>
        <w:tc>
          <w:tcPr>
            <w:tcW w:w="3658" w:type="pct"/>
            <w:tcBorders>
              <w:top w:val="single" w:color="auto" w:sz="4" w:space="0"/>
              <w:left w:val="single" w:color="auto" w:sz="4" w:space="0"/>
              <w:bottom w:val="single" w:color="auto" w:sz="4" w:space="0"/>
              <w:right w:val="single" w:color="auto" w:sz="4" w:space="0"/>
            </w:tcBorders>
            <w:shd w:val="clear" w:color="000000" w:fill="auto"/>
            <w:vAlign w:val="center"/>
          </w:tcPr>
          <w:p w14:paraId="6AB4A0D1">
            <w:pPr>
              <w:pStyle w:val="62"/>
              <w:adjustRightInd/>
              <w:rPr>
                <w:rFonts w:hint="eastAsia" w:ascii="仿宋" w:hAnsi="仿宋" w:eastAsia="仿宋" w:cs="仿宋"/>
              </w:rPr>
            </w:pPr>
            <w:r>
              <w:rPr>
                <w:rFonts w:hint="eastAsia" w:ascii="仿宋" w:hAnsi="仿宋" w:eastAsia="仿宋" w:cs="仿宋"/>
                <w:b/>
                <w:bCs/>
                <w:snapToGrid w:val="0"/>
                <w:color w:val="auto"/>
              </w:rPr>
              <w:t>净购入使用的电力产生的排放量（tCO</w:t>
            </w:r>
            <w:r>
              <w:rPr>
                <w:rFonts w:hint="eastAsia" w:ascii="仿宋" w:hAnsi="仿宋" w:eastAsia="仿宋" w:cs="仿宋"/>
                <w:b/>
                <w:bCs/>
                <w:snapToGrid w:val="0"/>
                <w:color w:val="auto"/>
                <w:vertAlign w:val="subscript"/>
              </w:rPr>
              <w:t>2</w:t>
            </w:r>
            <w:r>
              <w:rPr>
                <w:rFonts w:hint="eastAsia" w:ascii="仿宋" w:hAnsi="仿宋" w:eastAsia="仿宋" w:cs="仿宋"/>
                <w:b/>
                <w:bCs/>
                <w:snapToGrid w:val="0"/>
                <w:color w:val="auto"/>
              </w:rPr>
              <w:t>e）</w:t>
            </w:r>
          </w:p>
        </w:tc>
        <w:tc>
          <w:tcPr>
            <w:tcW w:w="1341" w:type="pct"/>
            <w:tcBorders>
              <w:top w:val="single" w:color="auto" w:sz="4" w:space="0"/>
              <w:left w:val="nil"/>
              <w:bottom w:val="single" w:color="auto" w:sz="4" w:space="0"/>
              <w:right w:val="single" w:color="auto" w:sz="4" w:space="0"/>
            </w:tcBorders>
            <w:vAlign w:val="center"/>
          </w:tcPr>
          <w:p w14:paraId="65B89B38">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1293.40</w:t>
            </w:r>
          </w:p>
        </w:tc>
      </w:tr>
      <w:tr w14:paraId="56233C15">
        <w:tblPrEx>
          <w:tblCellMar>
            <w:top w:w="0" w:type="dxa"/>
            <w:left w:w="108" w:type="dxa"/>
            <w:bottom w:w="0" w:type="dxa"/>
            <w:right w:w="108" w:type="dxa"/>
          </w:tblCellMar>
        </w:tblPrEx>
        <w:trPr>
          <w:trHeight w:val="397" w:hRule="atLeast"/>
          <w:jc w:val="center"/>
        </w:trPr>
        <w:tc>
          <w:tcPr>
            <w:tcW w:w="3658" w:type="pct"/>
            <w:tcBorders>
              <w:top w:val="single" w:color="auto" w:sz="4" w:space="0"/>
              <w:left w:val="single" w:color="auto" w:sz="4" w:space="0"/>
              <w:bottom w:val="single" w:color="auto" w:sz="4" w:space="0"/>
              <w:right w:val="single" w:color="auto" w:sz="4" w:space="0"/>
            </w:tcBorders>
            <w:shd w:val="clear" w:color="000000" w:fill="auto"/>
            <w:vAlign w:val="center"/>
          </w:tcPr>
          <w:p w14:paraId="05320B52">
            <w:pPr>
              <w:widowControl/>
              <w:spacing w:line="240" w:lineRule="auto"/>
              <w:ind w:firstLine="0" w:firstLineChars="0"/>
              <w:jc w:val="left"/>
              <w:rPr>
                <w:rFonts w:hint="eastAsia" w:ascii="仿宋" w:hAnsi="仿宋" w:eastAsia="仿宋" w:cs="仿宋"/>
                <w:kern w:val="0"/>
                <w:sz w:val="24"/>
                <w:szCs w:val="24"/>
              </w:rPr>
            </w:pPr>
            <w:r>
              <w:rPr>
                <w:rFonts w:hint="eastAsia" w:ascii="仿宋" w:hAnsi="仿宋" w:eastAsia="仿宋" w:cs="仿宋"/>
                <w:b/>
                <w:bCs/>
                <w:snapToGrid w:val="0"/>
                <w:color w:val="auto"/>
                <w:sz w:val="24"/>
                <w:szCs w:val="24"/>
                <w:highlight w:val="none"/>
                <w:shd w:val="clear"/>
              </w:rPr>
              <w:t>净购入使用的</w:t>
            </w:r>
            <w:r>
              <w:rPr>
                <w:rFonts w:hint="eastAsia" w:ascii="仿宋" w:hAnsi="仿宋" w:eastAsia="仿宋" w:cs="仿宋"/>
                <w:b/>
                <w:bCs/>
                <w:snapToGrid w:val="0"/>
                <w:color w:val="auto"/>
                <w:sz w:val="24"/>
                <w:szCs w:val="24"/>
                <w:highlight w:val="none"/>
                <w:shd w:val="clear"/>
                <w:lang w:val="en-US" w:eastAsia="zh-CN"/>
              </w:rPr>
              <w:t>热力</w:t>
            </w:r>
            <w:r>
              <w:rPr>
                <w:rFonts w:hint="eastAsia" w:ascii="仿宋" w:hAnsi="仿宋" w:eastAsia="仿宋" w:cs="仿宋"/>
                <w:b/>
                <w:bCs/>
                <w:snapToGrid w:val="0"/>
                <w:color w:val="auto"/>
                <w:sz w:val="24"/>
                <w:szCs w:val="24"/>
                <w:highlight w:val="none"/>
                <w:shd w:val="clear"/>
              </w:rPr>
              <w:t>产生的排放量（tCO</w:t>
            </w:r>
            <w:r>
              <w:rPr>
                <w:rFonts w:hint="eastAsia" w:ascii="仿宋" w:hAnsi="仿宋" w:eastAsia="仿宋" w:cs="仿宋"/>
                <w:b/>
                <w:bCs/>
                <w:snapToGrid w:val="0"/>
                <w:color w:val="auto"/>
                <w:sz w:val="24"/>
                <w:szCs w:val="24"/>
                <w:highlight w:val="none"/>
                <w:shd w:val="clear"/>
                <w:vertAlign w:val="subscript"/>
              </w:rPr>
              <w:t>2</w:t>
            </w:r>
            <w:r>
              <w:rPr>
                <w:rFonts w:hint="eastAsia" w:ascii="仿宋" w:hAnsi="仿宋" w:eastAsia="仿宋" w:cs="仿宋"/>
                <w:b/>
                <w:bCs/>
                <w:snapToGrid w:val="0"/>
                <w:color w:val="auto"/>
                <w:sz w:val="24"/>
                <w:szCs w:val="24"/>
                <w:highlight w:val="none"/>
                <w:shd w:val="clear"/>
              </w:rPr>
              <w:t>e）</w:t>
            </w:r>
          </w:p>
        </w:tc>
        <w:tc>
          <w:tcPr>
            <w:tcW w:w="1341" w:type="pct"/>
            <w:tcBorders>
              <w:top w:val="single" w:color="auto" w:sz="4" w:space="0"/>
              <w:left w:val="nil"/>
              <w:bottom w:val="single" w:color="auto" w:sz="4" w:space="0"/>
              <w:right w:val="single" w:color="auto" w:sz="4" w:space="0"/>
            </w:tcBorders>
            <w:vAlign w:val="center"/>
          </w:tcPr>
          <w:p w14:paraId="57F68401">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737.27</w:t>
            </w:r>
          </w:p>
        </w:tc>
      </w:tr>
      <w:tr w14:paraId="435CF4C6">
        <w:tblPrEx>
          <w:tblCellMar>
            <w:top w:w="0" w:type="dxa"/>
            <w:left w:w="108" w:type="dxa"/>
            <w:bottom w:w="0" w:type="dxa"/>
            <w:right w:w="108" w:type="dxa"/>
          </w:tblCellMar>
        </w:tblPrEx>
        <w:trPr>
          <w:trHeight w:val="397" w:hRule="atLeast"/>
          <w:jc w:val="center"/>
        </w:trPr>
        <w:tc>
          <w:tcPr>
            <w:tcW w:w="3658" w:type="pct"/>
            <w:tcBorders>
              <w:top w:val="single" w:color="auto" w:sz="4" w:space="0"/>
              <w:left w:val="single" w:color="auto" w:sz="4" w:space="0"/>
              <w:bottom w:val="single" w:color="auto" w:sz="4" w:space="0"/>
              <w:right w:val="single" w:color="auto" w:sz="4" w:space="0"/>
            </w:tcBorders>
            <w:shd w:val="clear" w:color="000000" w:fill="auto"/>
            <w:vAlign w:val="center"/>
          </w:tcPr>
          <w:p w14:paraId="6944B0B6">
            <w:pPr>
              <w:widowControl/>
              <w:spacing w:line="240" w:lineRule="auto"/>
              <w:ind w:firstLine="0" w:firstLineChars="0"/>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企业二氧化碳排放总量(</w:t>
            </w:r>
            <w:r>
              <w:rPr>
                <w:rFonts w:hint="eastAsia" w:ascii="仿宋" w:hAnsi="仿宋" w:eastAsia="仿宋" w:cs="仿宋"/>
                <w:b/>
                <w:bCs/>
                <w:sz w:val="24"/>
                <w:szCs w:val="24"/>
              </w:rPr>
              <w:t>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e</w:t>
            </w:r>
            <w:r>
              <w:rPr>
                <w:rFonts w:hint="eastAsia" w:ascii="仿宋" w:hAnsi="仿宋" w:eastAsia="仿宋" w:cs="仿宋"/>
                <w:b/>
                <w:bCs/>
                <w:kern w:val="0"/>
                <w:sz w:val="24"/>
                <w:szCs w:val="24"/>
              </w:rPr>
              <w:t>)</w:t>
            </w:r>
          </w:p>
        </w:tc>
        <w:tc>
          <w:tcPr>
            <w:tcW w:w="1341" w:type="pct"/>
            <w:tcBorders>
              <w:top w:val="single" w:color="auto" w:sz="4" w:space="0"/>
              <w:left w:val="nil"/>
              <w:bottom w:val="single" w:color="auto" w:sz="4" w:space="0"/>
              <w:right w:val="single" w:color="auto" w:sz="4" w:space="0"/>
            </w:tcBorders>
            <w:vAlign w:val="center"/>
          </w:tcPr>
          <w:p w14:paraId="55B4D95B">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2030.67</w:t>
            </w:r>
          </w:p>
        </w:tc>
      </w:tr>
    </w:tbl>
    <w:p w14:paraId="05582944">
      <w:pPr>
        <w:jc w:val="left"/>
        <w:rPr>
          <w:rFonts w:hint="eastAsia" w:ascii="仿宋" w:hAnsi="仿宋" w:eastAsia="仿宋" w:cs="仿宋"/>
          <w:bCs/>
          <w:snapToGrid/>
          <w:szCs w:val="24"/>
        </w:rPr>
      </w:pPr>
      <w:r>
        <w:rPr>
          <w:rFonts w:hint="eastAsia" w:ascii="仿宋" w:hAnsi="仿宋" w:eastAsia="仿宋" w:cs="仿宋"/>
          <w:bCs/>
          <w:snapToGrid/>
          <w:szCs w:val="24"/>
        </w:rPr>
        <w:t>综上所述，通过重新验算，核查组确认排放报告中排放量数据真实、可靠、正确。</w:t>
      </w:r>
    </w:p>
    <w:p w14:paraId="7DC9086C">
      <w:pPr>
        <w:pStyle w:val="4"/>
        <w:spacing w:beforeLines="50" w:afterLines="50"/>
        <w:rPr>
          <w:rFonts w:hint="eastAsia" w:ascii="仿宋" w:hAnsi="仿宋" w:eastAsia="仿宋" w:cs="仿宋"/>
          <w:szCs w:val="28"/>
        </w:rPr>
      </w:pPr>
      <w:bookmarkStart w:id="323" w:name="_Toc28944"/>
      <w:bookmarkStart w:id="324" w:name="_Toc503300129"/>
      <w:bookmarkStart w:id="325" w:name="_Toc444197204"/>
      <w:bookmarkStart w:id="326" w:name="_Toc444196313"/>
      <w:bookmarkStart w:id="327" w:name="_Toc7105"/>
      <w:bookmarkStart w:id="328" w:name="_Toc8420"/>
      <w:bookmarkStart w:id="329" w:name="_Toc32523_WPSOffice_Level3"/>
      <w:bookmarkStart w:id="330" w:name="_Toc26047"/>
      <w:bookmarkStart w:id="331" w:name="_Toc6432"/>
      <w:r>
        <w:rPr>
          <w:rFonts w:hint="eastAsia" w:ascii="仿宋" w:hAnsi="仿宋" w:eastAsia="仿宋" w:cs="仿宋"/>
          <w:szCs w:val="28"/>
        </w:rPr>
        <w:t>3.4.4 配额分配相关补充数据的核查</w:t>
      </w:r>
      <w:bookmarkEnd w:id="323"/>
      <w:bookmarkEnd w:id="324"/>
      <w:bookmarkEnd w:id="325"/>
      <w:bookmarkEnd w:id="326"/>
      <w:bookmarkEnd w:id="327"/>
      <w:bookmarkEnd w:id="328"/>
      <w:bookmarkEnd w:id="329"/>
      <w:bookmarkEnd w:id="330"/>
      <w:bookmarkEnd w:id="331"/>
    </w:p>
    <w:p w14:paraId="1958CB94">
      <w:pPr>
        <w:rPr>
          <w:rFonts w:hint="eastAsia" w:ascii="仿宋" w:hAnsi="仿宋" w:eastAsia="仿宋" w:cs="仿宋"/>
          <w:szCs w:val="28"/>
        </w:rPr>
      </w:pPr>
      <w:r>
        <w:rPr>
          <w:rFonts w:hint="default" w:ascii="Times New Roman" w:hAnsi="Times New Roman" w:eastAsia="仿宋" w:cs="Times New Roman"/>
          <w:sz w:val="28"/>
          <w:szCs w:val="28"/>
          <w:highlight w:val="none"/>
        </w:rPr>
        <w:t>郯城众一科环化工有限公司</w:t>
      </w:r>
      <w:r>
        <w:rPr>
          <w:rFonts w:hint="eastAsia" w:ascii="仿宋" w:hAnsi="仿宋" w:eastAsia="仿宋" w:cs="仿宋"/>
          <w:szCs w:val="28"/>
        </w:rPr>
        <w:t>属于</w:t>
      </w:r>
      <w:r>
        <w:rPr>
          <w:rFonts w:hint="eastAsia" w:ascii="Times New Roman" w:hAnsi="Times New Roman" w:eastAsia="仿宋" w:cs="Times New Roman"/>
          <w:color w:val="000000"/>
          <w:kern w:val="0"/>
          <w:sz w:val="28"/>
          <w:szCs w:val="28"/>
          <w:highlight w:val="none"/>
          <w:shd w:val="clear"/>
          <w:lang w:val="en-US" w:eastAsia="zh-CN"/>
        </w:rPr>
        <w:t>其他</w:t>
      </w:r>
      <w:r>
        <w:rPr>
          <w:rFonts w:hint="default" w:ascii="Times New Roman" w:hAnsi="Times New Roman" w:eastAsia="仿宋" w:cs="Times New Roman"/>
          <w:color w:val="000000"/>
          <w:kern w:val="0"/>
          <w:sz w:val="28"/>
          <w:szCs w:val="28"/>
          <w:highlight w:val="none"/>
          <w:shd w:val="clear"/>
        </w:rPr>
        <w:t>基础化工原料制造</w:t>
      </w:r>
      <w:r>
        <w:rPr>
          <w:rFonts w:hint="default" w:ascii="Times New Roman" w:hAnsi="Times New Roman" w:eastAsia="仿宋" w:cs="Times New Roman"/>
          <w:color w:val="000000"/>
          <w:kern w:val="0"/>
          <w:sz w:val="28"/>
          <w:szCs w:val="28"/>
          <w:highlight w:val="none"/>
          <w:shd w:val="clear"/>
          <w:lang w:eastAsia="zh-CN"/>
        </w:rPr>
        <w:t>（</w:t>
      </w:r>
      <w:r>
        <w:rPr>
          <w:rFonts w:hint="default" w:ascii="Times New Roman" w:hAnsi="Times New Roman" w:eastAsia="仿宋" w:cs="Times New Roman"/>
          <w:color w:val="000000"/>
          <w:kern w:val="0"/>
          <w:sz w:val="28"/>
          <w:szCs w:val="28"/>
          <w:highlight w:val="none"/>
          <w:shd w:val="clear"/>
          <w:lang w:val="en-US" w:eastAsia="zh-CN"/>
        </w:rPr>
        <w:t>C2619</w:t>
      </w:r>
      <w:r>
        <w:rPr>
          <w:rFonts w:hint="default" w:ascii="Times New Roman" w:hAnsi="Times New Roman" w:eastAsia="仿宋" w:cs="Times New Roman"/>
          <w:color w:val="000000"/>
          <w:kern w:val="0"/>
          <w:sz w:val="28"/>
          <w:szCs w:val="28"/>
          <w:highlight w:val="none"/>
          <w:shd w:val="clear"/>
          <w:lang w:eastAsia="zh-CN"/>
        </w:rPr>
        <w:t>）</w:t>
      </w:r>
      <w:r>
        <w:rPr>
          <w:rFonts w:hint="eastAsia" w:ascii="仿宋" w:hAnsi="仿宋" w:eastAsia="仿宋" w:cs="仿宋"/>
          <w:szCs w:val="28"/>
        </w:rPr>
        <w:t>，属于八大行业以外，无补充数据表模板，参考化工行业补充数据表修改。</w:t>
      </w:r>
    </w:p>
    <w:p w14:paraId="7F57846F">
      <w:pPr>
        <w:spacing w:beforeLines="50" w:afterLines="50"/>
        <w:ind w:firstLine="0" w:firstLineChars="0"/>
        <w:outlineLvl w:val="3"/>
        <w:rPr>
          <w:rFonts w:hint="eastAsia" w:ascii="仿宋" w:hAnsi="仿宋" w:eastAsia="仿宋" w:cs="仿宋"/>
          <w:b/>
          <w:bCs/>
          <w:szCs w:val="28"/>
        </w:rPr>
      </w:pPr>
      <w:r>
        <w:rPr>
          <w:rFonts w:hint="eastAsia" w:ascii="仿宋" w:hAnsi="仿宋" w:eastAsia="仿宋" w:cs="仿宋"/>
          <w:b/>
          <w:bCs/>
          <w:szCs w:val="28"/>
        </w:rPr>
        <w:t>3.4.4.1 补充数据表核算边界及基本信息的核查</w:t>
      </w:r>
    </w:p>
    <w:p w14:paraId="3C136C3F">
      <w:pPr>
        <w:rPr>
          <w:rFonts w:hint="eastAsia" w:ascii="仿宋" w:hAnsi="仿宋" w:eastAsia="仿宋" w:cs="仿宋"/>
          <w:szCs w:val="28"/>
        </w:rPr>
      </w:pPr>
      <w:bookmarkStart w:id="332" w:name="_Toc32273_WPSOffice_Level3"/>
      <w:bookmarkStart w:id="333" w:name="_Toc5721_WPSOffice_Level3"/>
      <w:bookmarkStart w:id="334" w:name="_Toc26750_WPSOffice_Level3"/>
      <w:bookmarkStart w:id="335" w:name="_Toc29213_WPSOffice_Level3"/>
      <w:r>
        <w:rPr>
          <w:rFonts w:hint="eastAsia" w:ascii="仿宋" w:hAnsi="仿宋" w:eastAsia="仿宋" w:cs="仿宋"/>
          <w:szCs w:val="28"/>
        </w:rPr>
        <w:t>补充数据表的核查边界为受核查方净外购电力的排放，不包括移动源产生排放、非生产系统产生排放，通过查阅受核查方上报统计部门的统计报表等文件资料，核查组确认受核查方补充数据核算报告中的数据汇总表基本信息，以及补充数据表核算边界内基本信息如下：</w:t>
      </w:r>
    </w:p>
    <w:tbl>
      <w:tblPr>
        <w:tblStyle w:val="27"/>
        <w:tblpPr w:leftFromText="180" w:rightFromText="180" w:vertAnchor="text" w:horzAnchor="margin" w:tblpY="796"/>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6"/>
        <w:gridCol w:w="3162"/>
        <w:gridCol w:w="2744"/>
      </w:tblGrid>
      <w:tr w14:paraId="4589C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535" w:type="pct"/>
            <w:vAlign w:val="center"/>
          </w:tcPr>
          <w:p w14:paraId="3C89E455">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参数</w:t>
            </w:r>
          </w:p>
        </w:tc>
        <w:tc>
          <w:tcPr>
            <w:tcW w:w="1855" w:type="pct"/>
            <w:vAlign w:val="center"/>
          </w:tcPr>
          <w:p w14:paraId="60AB48B6">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2023年数据值</w:t>
            </w:r>
          </w:p>
        </w:tc>
        <w:tc>
          <w:tcPr>
            <w:tcW w:w="1610" w:type="pct"/>
            <w:vAlign w:val="center"/>
          </w:tcPr>
          <w:p w14:paraId="5AC5387B">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核查证据</w:t>
            </w:r>
          </w:p>
        </w:tc>
      </w:tr>
      <w:tr w14:paraId="61A53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5" w:type="pct"/>
            <w:vAlign w:val="center"/>
          </w:tcPr>
          <w:p w14:paraId="7E7BE3FB">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在岗职工总数（人）</w:t>
            </w:r>
          </w:p>
        </w:tc>
        <w:tc>
          <w:tcPr>
            <w:tcW w:w="1855" w:type="pct"/>
            <w:shd w:val="clear" w:color="auto" w:fill="auto"/>
            <w:vAlign w:val="center"/>
          </w:tcPr>
          <w:p w14:paraId="1CF711E8">
            <w:pPr>
              <w:spacing w:line="240" w:lineRule="auto"/>
              <w:ind w:firstLine="0" w:firstLineChars="0"/>
              <w:jc w:val="center"/>
              <w:rPr>
                <w:rFonts w:hint="default" w:ascii="仿宋" w:hAnsi="仿宋" w:eastAsia="仿宋" w:cs="仿宋"/>
                <w:bCs/>
                <w:kern w:val="0"/>
                <w:sz w:val="24"/>
                <w:szCs w:val="24"/>
                <w:highlight w:val="none"/>
                <w:lang w:val="en-US" w:eastAsia="zh-CN"/>
              </w:rPr>
            </w:pPr>
            <w:r>
              <w:rPr>
                <w:rFonts w:hint="eastAsia" w:ascii="仿宋" w:hAnsi="仿宋" w:eastAsia="仿宋" w:cs="仿宋"/>
                <w:sz w:val="24"/>
                <w:szCs w:val="24"/>
                <w:highlight w:val="none"/>
                <w:lang w:val="en-US" w:eastAsia="zh-CN"/>
              </w:rPr>
              <w:t>74</w:t>
            </w:r>
          </w:p>
        </w:tc>
        <w:tc>
          <w:tcPr>
            <w:tcW w:w="1610" w:type="pct"/>
            <w:shd w:val="clear" w:color="auto" w:fill="auto"/>
            <w:vAlign w:val="center"/>
          </w:tcPr>
          <w:p w14:paraId="4229CF57">
            <w:pPr>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602-从业人员及工资总额-2023年</w:t>
            </w:r>
          </w:p>
        </w:tc>
      </w:tr>
      <w:tr w14:paraId="2561A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5" w:type="pct"/>
            <w:vAlign w:val="center"/>
          </w:tcPr>
          <w:p w14:paraId="0B1B0342">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固定资产（万元）</w:t>
            </w:r>
          </w:p>
        </w:tc>
        <w:tc>
          <w:tcPr>
            <w:tcW w:w="1855" w:type="pct"/>
            <w:shd w:val="clear" w:color="auto" w:fill="auto"/>
            <w:vAlign w:val="center"/>
          </w:tcPr>
          <w:p w14:paraId="523EBD57">
            <w:pPr>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kern w:val="0"/>
                <w:sz w:val="24"/>
                <w:szCs w:val="24"/>
                <w:highlight w:val="none"/>
              </w:rPr>
              <w:t>7795</w:t>
            </w:r>
          </w:p>
        </w:tc>
        <w:tc>
          <w:tcPr>
            <w:tcW w:w="1610" w:type="pct"/>
            <w:shd w:val="clear" w:color="auto" w:fill="auto"/>
            <w:vAlign w:val="center"/>
          </w:tcPr>
          <w:p w14:paraId="0D566FEF">
            <w:pPr>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(B203)财务状况</w:t>
            </w:r>
          </w:p>
        </w:tc>
      </w:tr>
      <w:tr w14:paraId="788CB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5" w:type="pct"/>
            <w:vAlign w:val="center"/>
          </w:tcPr>
          <w:p w14:paraId="051A2DA7">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工业总产值（</w:t>
            </w:r>
            <w:r>
              <w:rPr>
                <w:rFonts w:hint="eastAsia" w:ascii="仿宋" w:hAnsi="仿宋" w:eastAsia="仿宋" w:cs="仿宋"/>
                <w:b/>
                <w:bCs/>
                <w:sz w:val="24"/>
                <w:szCs w:val="24"/>
                <w:lang w:val="en-US" w:eastAsia="zh-CN"/>
              </w:rPr>
              <w:t>万元</w:t>
            </w:r>
            <w:r>
              <w:rPr>
                <w:rFonts w:hint="eastAsia" w:ascii="仿宋" w:hAnsi="仿宋" w:eastAsia="仿宋" w:cs="仿宋"/>
                <w:b/>
                <w:bCs/>
                <w:sz w:val="24"/>
                <w:szCs w:val="24"/>
              </w:rPr>
              <w:t>）</w:t>
            </w:r>
          </w:p>
        </w:tc>
        <w:tc>
          <w:tcPr>
            <w:tcW w:w="1855" w:type="pct"/>
            <w:shd w:val="clear" w:color="auto" w:fill="auto"/>
            <w:vAlign w:val="center"/>
          </w:tcPr>
          <w:p w14:paraId="04CFB3FD">
            <w:pPr>
              <w:spacing w:line="240" w:lineRule="auto"/>
              <w:ind w:firstLine="0" w:firstLineChars="0"/>
              <w:jc w:val="center"/>
              <w:rPr>
                <w:rFonts w:hint="eastAsia" w:ascii="仿宋" w:hAnsi="仿宋" w:eastAsia="仿宋" w:cs="仿宋"/>
                <w:bCs/>
                <w:kern w:val="0"/>
                <w:sz w:val="24"/>
                <w:szCs w:val="24"/>
                <w:highlight w:val="none"/>
                <w:lang w:val="en-US" w:eastAsia="zh-CN"/>
              </w:rPr>
            </w:pPr>
            <w:r>
              <w:rPr>
                <w:rFonts w:hint="eastAsia" w:ascii="仿宋" w:hAnsi="仿宋" w:eastAsia="仿宋" w:cs="仿宋"/>
                <w:bCs/>
                <w:kern w:val="0"/>
                <w:sz w:val="24"/>
                <w:szCs w:val="24"/>
                <w:highlight w:val="none"/>
              </w:rPr>
              <w:t>24470.7</w:t>
            </w:r>
            <w:r>
              <w:rPr>
                <w:rFonts w:hint="eastAsia" w:ascii="仿宋" w:hAnsi="仿宋" w:eastAsia="仿宋" w:cs="仿宋"/>
                <w:bCs/>
                <w:kern w:val="0"/>
                <w:sz w:val="24"/>
                <w:szCs w:val="24"/>
                <w:highlight w:val="none"/>
                <w:lang w:val="en-US" w:eastAsia="zh-CN"/>
              </w:rPr>
              <w:t>0</w:t>
            </w:r>
          </w:p>
        </w:tc>
        <w:tc>
          <w:tcPr>
            <w:tcW w:w="1610" w:type="pct"/>
            <w:shd w:val="clear" w:color="auto" w:fill="auto"/>
            <w:vAlign w:val="center"/>
          </w:tcPr>
          <w:p w14:paraId="3F4822D3">
            <w:pPr>
              <w:spacing w:line="240" w:lineRule="auto"/>
              <w:ind w:firstLine="0" w:firstLineChars="0"/>
              <w:jc w:val="center"/>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(B204-1)工业产销总值及主要产品产量</w:t>
            </w:r>
          </w:p>
        </w:tc>
      </w:tr>
      <w:tr w14:paraId="0E5F5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5" w:type="pct"/>
            <w:vAlign w:val="center"/>
          </w:tcPr>
          <w:p w14:paraId="6896037C">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综合能耗（万吨标煤）</w:t>
            </w:r>
          </w:p>
        </w:tc>
        <w:tc>
          <w:tcPr>
            <w:tcW w:w="1855" w:type="pct"/>
            <w:vAlign w:val="center"/>
          </w:tcPr>
          <w:p w14:paraId="1C5CD5C8">
            <w:pPr>
              <w:spacing w:line="240" w:lineRule="auto"/>
              <w:ind w:firstLine="0" w:firstLineChars="0"/>
              <w:jc w:val="center"/>
              <w:rPr>
                <w:rFonts w:hint="default" w:ascii="仿宋" w:hAnsi="仿宋" w:eastAsia="仿宋" w:cs="仿宋"/>
                <w:bCs/>
                <w:kern w:val="0"/>
                <w:sz w:val="24"/>
                <w:szCs w:val="24"/>
                <w:lang w:val="en-US" w:eastAsia="zh-CN"/>
              </w:rPr>
            </w:pPr>
            <w:r>
              <w:rPr>
                <w:rFonts w:hint="eastAsia" w:ascii="仿宋" w:hAnsi="仿宋" w:eastAsia="仿宋" w:cs="仿宋"/>
                <w:bCs/>
                <w:kern w:val="0"/>
                <w:sz w:val="24"/>
                <w:szCs w:val="24"/>
                <w:highlight w:val="none"/>
                <w:lang w:val="en-US" w:eastAsia="zh-CN"/>
              </w:rPr>
              <w:t>0.0497</w:t>
            </w:r>
          </w:p>
        </w:tc>
        <w:tc>
          <w:tcPr>
            <w:tcW w:w="1610" w:type="pct"/>
            <w:vAlign w:val="center"/>
          </w:tcPr>
          <w:p w14:paraId="692230D4">
            <w:pPr>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计算值</w:t>
            </w:r>
          </w:p>
        </w:tc>
      </w:tr>
    </w:tbl>
    <w:p w14:paraId="44BF393C">
      <w:pPr>
        <w:ind w:firstLine="0" w:firstLineChars="0"/>
        <w:jc w:val="center"/>
        <w:rPr>
          <w:rFonts w:hint="eastAsia" w:ascii="仿宋" w:hAnsi="仿宋" w:eastAsia="仿宋" w:cs="仿宋"/>
          <w:szCs w:val="28"/>
        </w:rPr>
      </w:pPr>
      <w:r>
        <w:rPr>
          <w:rFonts w:hint="eastAsia" w:ascii="仿宋" w:hAnsi="仿宋" w:eastAsia="仿宋" w:cs="仿宋"/>
          <w:b/>
          <w:snapToGrid/>
          <w:szCs w:val="21"/>
        </w:rPr>
        <w:t>表3-1</w:t>
      </w:r>
      <w:r>
        <w:rPr>
          <w:rFonts w:hint="eastAsia" w:ascii="仿宋" w:hAnsi="仿宋" w:eastAsia="仿宋" w:cs="仿宋"/>
          <w:b/>
          <w:snapToGrid/>
          <w:szCs w:val="21"/>
          <w:lang w:val="en-US" w:eastAsia="zh-CN"/>
        </w:rPr>
        <w:t>2</w:t>
      </w:r>
      <w:r>
        <w:rPr>
          <w:rFonts w:hint="eastAsia" w:ascii="仿宋" w:hAnsi="仿宋" w:eastAsia="仿宋" w:cs="仿宋"/>
          <w:b/>
          <w:snapToGrid/>
          <w:szCs w:val="21"/>
        </w:rPr>
        <w:t xml:space="preserve">  经核查的数据汇总表基本信息</w:t>
      </w:r>
    </w:p>
    <w:bookmarkEnd w:id="332"/>
    <w:bookmarkEnd w:id="333"/>
    <w:bookmarkEnd w:id="334"/>
    <w:bookmarkEnd w:id="335"/>
    <w:p w14:paraId="0782D12B">
      <w:pPr>
        <w:widowControl/>
        <w:spacing w:beforeLines="50" w:afterLines="50"/>
        <w:ind w:firstLine="0" w:firstLineChars="0"/>
        <w:jc w:val="left"/>
        <w:outlineLvl w:val="3"/>
        <w:rPr>
          <w:rFonts w:hint="eastAsia" w:ascii="仿宋" w:hAnsi="仿宋" w:eastAsia="仿宋" w:cs="仿宋"/>
          <w:b/>
          <w:bCs/>
          <w:szCs w:val="28"/>
        </w:rPr>
      </w:pPr>
      <w:bookmarkStart w:id="336" w:name="_Toc5952_WPSOffice_Level3"/>
      <w:r>
        <w:rPr>
          <w:rFonts w:hint="eastAsia" w:ascii="仿宋" w:hAnsi="仿宋" w:eastAsia="仿宋" w:cs="仿宋"/>
          <w:b/>
          <w:bCs/>
          <w:szCs w:val="28"/>
        </w:rPr>
        <w:t>3.4.4.2 补充数据表活动水平数据及来源的核查</w:t>
      </w:r>
      <w:bookmarkEnd w:id="336"/>
    </w:p>
    <w:p w14:paraId="4C89A0E8">
      <w:pPr>
        <w:rPr>
          <w:rFonts w:hint="eastAsia" w:ascii="仿宋" w:hAnsi="仿宋" w:eastAsia="仿宋" w:cs="仿宋"/>
          <w:szCs w:val="24"/>
        </w:rPr>
      </w:pPr>
      <w:r>
        <w:rPr>
          <w:rFonts w:hint="eastAsia" w:ascii="仿宋" w:hAnsi="仿宋" w:eastAsia="仿宋" w:cs="仿宋"/>
          <w:szCs w:val="28"/>
        </w:rPr>
        <w:t>核查组对补充数据表中的每一个活动水平数据的数据单位、数据来源、监测方法、监测频次、记录频次、数据缺失处理进行了核查，</w:t>
      </w:r>
      <w:r>
        <w:rPr>
          <w:rFonts w:hint="eastAsia" w:ascii="仿宋" w:hAnsi="仿宋" w:eastAsia="仿宋" w:cs="仿宋"/>
          <w:szCs w:val="24"/>
        </w:rPr>
        <w:t>并对数据进行了交叉核对。</w:t>
      </w:r>
    </w:p>
    <w:p w14:paraId="551C01A3">
      <w:pPr>
        <w:rPr>
          <w:rFonts w:hint="eastAsia" w:ascii="仿宋" w:hAnsi="仿宋" w:eastAsia="仿宋" w:cs="仿宋"/>
        </w:rPr>
      </w:pPr>
      <w:r>
        <w:rPr>
          <w:rFonts w:hint="eastAsia" w:ascii="仿宋" w:hAnsi="仿宋" w:eastAsia="仿宋" w:cs="仿宋"/>
        </w:rPr>
        <w:t>经核查的补充数据表活动水平数据如下表所示：</w:t>
      </w:r>
    </w:p>
    <w:p w14:paraId="63E33127">
      <w:pPr>
        <w:keepNext/>
        <w:widowControl/>
        <w:spacing w:beforeLines="50" w:afterLines="50"/>
        <w:ind w:firstLine="0" w:firstLineChars="0"/>
        <w:jc w:val="left"/>
        <w:outlineLvl w:val="3"/>
        <w:rPr>
          <w:rFonts w:hint="eastAsia" w:ascii="仿宋" w:hAnsi="仿宋" w:eastAsia="仿宋" w:cs="仿宋"/>
          <w:b/>
          <w:snapToGrid/>
          <w:szCs w:val="21"/>
        </w:rPr>
      </w:pPr>
      <w:bookmarkStart w:id="337" w:name="_Toc444197205"/>
      <w:bookmarkStart w:id="338" w:name="_Toc444196314"/>
      <w:bookmarkStart w:id="339" w:name="_Toc16507"/>
      <w:bookmarkStart w:id="340" w:name="_Toc2531"/>
      <w:bookmarkStart w:id="341" w:name="_Toc3158"/>
      <w:bookmarkStart w:id="342" w:name="_Toc15895"/>
      <w:r>
        <w:rPr>
          <w:rFonts w:hint="eastAsia" w:ascii="仿宋" w:hAnsi="仿宋" w:eastAsia="仿宋" w:cs="仿宋"/>
          <w:b/>
          <w:snapToGrid/>
          <w:szCs w:val="21"/>
        </w:rPr>
        <w:t>活动水平数据</w:t>
      </w:r>
      <w:r>
        <w:rPr>
          <w:rFonts w:hint="eastAsia" w:ascii="仿宋" w:hAnsi="仿宋" w:eastAsia="仿宋" w:cs="仿宋"/>
          <w:b/>
          <w:snapToGrid/>
          <w:szCs w:val="21"/>
          <w:lang w:val="en-US" w:eastAsia="zh-CN"/>
        </w:rPr>
        <w:t>1</w:t>
      </w:r>
      <w:r>
        <w:rPr>
          <w:rFonts w:hint="eastAsia" w:ascii="仿宋" w:hAnsi="仿宋" w:eastAsia="仿宋" w:cs="仿宋"/>
          <w:b/>
          <w:snapToGrid/>
          <w:szCs w:val="21"/>
        </w:rPr>
        <w:t>：净购入电力消耗量</w:t>
      </w:r>
    </w:p>
    <w:p w14:paraId="6A532748">
      <w:pPr>
        <w:widowControl/>
        <w:ind w:firstLine="0" w:firstLineChars="0"/>
        <w:jc w:val="center"/>
        <w:rPr>
          <w:rFonts w:hint="eastAsia" w:ascii="仿宋" w:hAnsi="仿宋" w:eastAsia="仿宋" w:cs="仿宋"/>
          <w:b/>
          <w:snapToGrid/>
          <w:szCs w:val="21"/>
        </w:rPr>
      </w:pPr>
      <w:r>
        <w:rPr>
          <w:rFonts w:hint="eastAsia" w:ascii="仿宋" w:hAnsi="仿宋" w:eastAsia="仿宋" w:cs="仿宋"/>
          <w:b/>
          <w:snapToGrid/>
          <w:szCs w:val="21"/>
        </w:rPr>
        <w:t>表3-1</w:t>
      </w:r>
      <w:r>
        <w:rPr>
          <w:rFonts w:hint="eastAsia" w:ascii="仿宋" w:hAnsi="仿宋" w:eastAsia="仿宋" w:cs="仿宋"/>
          <w:b/>
          <w:snapToGrid/>
          <w:szCs w:val="21"/>
          <w:lang w:val="en-US" w:eastAsia="zh-CN"/>
        </w:rPr>
        <w:t>3</w:t>
      </w:r>
      <w:r>
        <w:rPr>
          <w:rFonts w:hint="eastAsia" w:ascii="仿宋" w:hAnsi="仿宋" w:eastAsia="仿宋" w:cs="仿宋"/>
          <w:b/>
          <w:snapToGrid/>
          <w:szCs w:val="21"/>
        </w:rPr>
        <w:t xml:space="preserve">  对净购入电力消耗量的核查</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1144"/>
        <w:gridCol w:w="5448"/>
      </w:tblGrid>
      <w:tr w14:paraId="17760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restart"/>
            <w:vAlign w:val="center"/>
          </w:tcPr>
          <w:p w14:paraId="66A46362">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数据值</w:t>
            </w:r>
          </w:p>
        </w:tc>
        <w:tc>
          <w:tcPr>
            <w:tcW w:w="1144" w:type="dxa"/>
            <w:vAlign w:val="center"/>
          </w:tcPr>
          <w:p w14:paraId="1DA6553F">
            <w:pPr>
              <w:spacing w:line="240" w:lineRule="auto"/>
              <w:ind w:firstLine="0" w:firstLineChars="0"/>
              <w:jc w:val="center"/>
              <w:rPr>
                <w:rFonts w:hint="eastAsia" w:ascii="仿宋" w:hAnsi="仿宋" w:eastAsia="仿宋" w:cs="仿宋"/>
                <w:b/>
                <w:bCs/>
                <w:sz w:val="24"/>
              </w:rPr>
            </w:pPr>
            <w:r>
              <w:rPr>
                <w:rFonts w:hint="eastAsia" w:ascii="仿宋" w:hAnsi="仿宋" w:eastAsia="仿宋" w:cs="仿宋"/>
                <w:b/>
                <w:bCs/>
                <w:sz w:val="24"/>
              </w:rPr>
              <w:t>年份</w:t>
            </w:r>
          </w:p>
        </w:tc>
        <w:tc>
          <w:tcPr>
            <w:tcW w:w="5448" w:type="dxa"/>
            <w:vAlign w:val="center"/>
          </w:tcPr>
          <w:p w14:paraId="65E8C6B3">
            <w:pPr>
              <w:spacing w:line="240" w:lineRule="auto"/>
              <w:ind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数据值</w:t>
            </w:r>
          </w:p>
        </w:tc>
      </w:tr>
      <w:tr w14:paraId="7AB7E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4A84C09D">
            <w:pPr>
              <w:spacing w:line="240" w:lineRule="auto"/>
              <w:ind w:firstLine="0" w:firstLineChars="0"/>
              <w:jc w:val="center"/>
              <w:rPr>
                <w:rFonts w:hint="eastAsia" w:ascii="仿宋" w:hAnsi="仿宋" w:eastAsia="仿宋" w:cs="仿宋"/>
                <w:b/>
                <w:snapToGrid/>
                <w:sz w:val="24"/>
                <w:szCs w:val="28"/>
              </w:rPr>
            </w:pPr>
          </w:p>
        </w:tc>
        <w:tc>
          <w:tcPr>
            <w:tcW w:w="1144" w:type="dxa"/>
            <w:vAlign w:val="center"/>
          </w:tcPr>
          <w:p w14:paraId="129EBAF3">
            <w:pPr>
              <w:spacing w:line="240" w:lineRule="auto"/>
              <w:ind w:firstLine="0" w:firstLineChars="0"/>
              <w:jc w:val="center"/>
              <w:rPr>
                <w:rFonts w:hint="eastAsia" w:ascii="仿宋" w:hAnsi="仿宋" w:eastAsia="仿宋" w:cs="仿宋"/>
                <w:b/>
                <w:bCs/>
                <w:snapToGrid/>
                <w:sz w:val="24"/>
                <w:szCs w:val="28"/>
              </w:rPr>
            </w:pPr>
            <w:r>
              <w:rPr>
                <w:rFonts w:hint="eastAsia" w:ascii="仿宋" w:hAnsi="仿宋" w:eastAsia="仿宋" w:cs="仿宋"/>
                <w:b/>
                <w:bCs/>
                <w:snapToGrid/>
                <w:sz w:val="24"/>
                <w:szCs w:val="28"/>
              </w:rPr>
              <w:t>2023</w:t>
            </w:r>
          </w:p>
        </w:tc>
        <w:tc>
          <w:tcPr>
            <w:tcW w:w="5448" w:type="dxa"/>
            <w:vAlign w:val="center"/>
          </w:tcPr>
          <w:p w14:paraId="0D0DCA7A">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color w:val="000000" w:themeColor="text1"/>
                <w:sz w:val="24"/>
                <w:szCs w:val="24"/>
                <w14:textFill>
                  <w14:solidFill>
                    <w14:schemeClr w14:val="tx1"/>
                  </w14:solidFill>
                </w14:textFill>
              </w:rPr>
              <w:t>2158</w:t>
            </w:r>
            <w:r>
              <w:rPr>
                <w:rFonts w:hint="eastAsia" w:ascii="仿宋" w:hAnsi="仿宋" w:eastAsia="仿宋" w:cs="仿宋"/>
                <w:color w:val="000000" w:themeColor="text1"/>
                <w:sz w:val="24"/>
                <w:szCs w:val="24"/>
                <w:lang w:val="en-US"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553</w:t>
            </w:r>
          </w:p>
        </w:tc>
      </w:tr>
      <w:tr w14:paraId="0604E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46D2A66F">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kern w:val="0"/>
                <w:sz w:val="24"/>
                <w:szCs w:val="24"/>
                <w:lang w:val="en-GB"/>
              </w:rPr>
              <w:t>数据项</w:t>
            </w:r>
          </w:p>
        </w:tc>
        <w:tc>
          <w:tcPr>
            <w:tcW w:w="6592" w:type="dxa"/>
            <w:gridSpan w:val="2"/>
            <w:vAlign w:val="center"/>
          </w:tcPr>
          <w:p w14:paraId="47882AAE">
            <w:pPr>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净购入电力消耗量</w:t>
            </w:r>
          </w:p>
        </w:tc>
      </w:tr>
      <w:tr w14:paraId="7B0AF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1870EDB9">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单位</w:t>
            </w:r>
          </w:p>
        </w:tc>
        <w:tc>
          <w:tcPr>
            <w:tcW w:w="6592" w:type="dxa"/>
            <w:gridSpan w:val="2"/>
            <w:vAlign w:val="center"/>
          </w:tcPr>
          <w:p w14:paraId="09C0712C">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MWh</w:t>
            </w:r>
          </w:p>
        </w:tc>
      </w:tr>
      <w:tr w14:paraId="5384D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0BC20D74">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数据来源</w:t>
            </w:r>
          </w:p>
        </w:tc>
        <w:tc>
          <w:tcPr>
            <w:tcW w:w="6592" w:type="dxa"/>
            <w:gridSpan w:val="2"/>
            <w:vAlign w:val="center"/>
          </w:tcPr>
          <w:p w14:paraId="051344C4">
            <w:pPr>
              <w:spacing w:line="240" w:lineRule="auto"/>
              <w:ind w:firstLine="0" w:firstLineChars="0"/>
              <w:rPr>
                <w:rFonts w:hint="eastAsia" w:ascii="仿宋" w:hAnsi="仿宋" w:eastAsia="仿宋" w:cs="仿宋"/>
                <w:sz w:val="24"/>
              </w:rPr>
            </w:pPr>
            <w:r>
              <w:rPr>
                <w:rFonts w:hint="eastAsia" w:ascii="仿宋" w:hAnsi="仿宋" w:eastAsia="仿宋" w:cs="仿宋"/>
                <w:sz w:val="24"/>
                <w:szCs w:val="24"/>
              </w:rPr>
              <w:t>《能源统计》</w:t>
            </w:r>
          </w:p>
        </w:tc>
      </w:tr>
      <w:tr w14:paraId="672D6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7CB3BA65">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监测方法</w:t>
            </w:r>
          </w:p>
        </w:tc>
        <w:tc>
          <w:tcPr>
            <w:tcW w:w="6592" w:type="dxa"/>
            <w:gridSpan w:val="2"/>
            <w:vAlign w:val="center"/>
          </w:tcPr>
          <w:p w14:paraId="31867DF4">
            <w:pPr>
              <w:spacing w:line="240" w:lineRule="auto"/>
              <w:ind w:firstLine="0" w:firstLineChars="0"/>
              <w:rPr>
                <w:rFonts w:hint="eastAsia" w:ascii="仿宋" w:hAnsi="仿宋" w:eastAsia="仿宋" w:cs="仿宋"/>
                <w:sz w:val="24"/>
              </w:rPr>
            </w:pPr>
            <w:r>
              <w:rPr>
                <w:rFonts w:hint="eastAsia" w:ascii="仿宋" w:hAnsi="仿宋" w:eastAsia="仿宋" w:cs="仿宋"/>
                <w:sz w:val="24"/>
              </w:rPr>
              <w:t>电表计量</w:t>
            </w:r>
          </w:p>
        </w:tc>
      </w:tr>
      <w:tr w14:paraId="74CD7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5BD76CB7">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监测频次</w:t>
            </w:r>
          </w:p>
        </w:tc>
        <w:tc>
          <w:tcPr>
            <w:tcW w:w="6592" w:type="dxa"/>
            <w:gridSpan w:val="2"/>
            <w:vAlign w:val="center"/>
          </w:tcPr>
          <w:p w14:paraId="0A88D99A">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连续监测</w:t>
            </w:r>
          </w:p>
        </w:tc>
      </w:tr>
      <w:tr w14:paraId="705A3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6FF733A7">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记录频次</w:t>
            </w:r>
          </w:p>
        </w:tc>
        <w:tc>
          <w:tcPr>
            <w:tcW w:w="6592" w:type="dxa"/>
            <w:gridSpan w:val="2"/>
            <w:vAlign w:val="center"/>
          </w:tcPr>
          <w:p w14:paraId="78966681">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每月统计、每年汇总</w:t>
            </w:r>
          </w:p>
        </w:tc>
      </w:tr>
      <w:tr w14:paraId="120C0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5356D55A">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数据缺失处理</w:t>
            </w:r>
          </w:p>
        </w:tc>
        <w:tc>
          <w:tcPr>
            <w:tcW w:w="6592" w:type="dxa"/>
            <w:gridSpan w:val="2"/>
            <w:vAlign w:val="center"/>
          </w:tcPr>
          <w:p w14:paraId="3B5924A8">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数据无缺失</w:t>
            </w:r>
          </w:p>
        </w:tc>
      </w:tr>
      <w:tr w14:paraId="63D4D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1B8CFF9A">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交叉核对</w:t>
            </w:r>
          </w:p>
        </w:tc>
        <w:tc>
          <w:tcPr>
            <w:tcW w:w="6592" w:type="dxa"/>
            <w:gridSpan w:val="2"/>
            <w:vAlign w:val="center"/>
          </w:tcPr>
          <w:p w14:paraId="36228F65">
            <w:pPr>
              <w:spacing w:line="240" w:lineRule="auto"/>
              <w:ind w:firstLine="0" w:firstLineChars="0"/>
              <w:rPr>
                <w:rFonts w:hint="eastAsia" w:ascii="仿宋" w:hAnsi="仿宋" w:eastAsia="仿宋" w:cs="仿宋"/>
                <w:sz w:val="24"/>
              </w:rPr>
            </w:pPr>
            <w:r>
              <w:rPr>
                <w:rFonts w:hint="eastAsia" w:ascii="仿宋" w:hAnsi="仿宋" w:eastAsia="仿宋" w:cs="仿宋"/>
                <w:sz w:val="24"/>
              </w:rPr>
              <w:t>无交叉核对</w:t>
            </w:r>
          </w:p>
        </w:tc>
      </w:tr>
      <w:tr w14:paraId="25DD5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restart"/>
            <w:vAlign w:val="center"/>
          </w:tcPr>
          <w:p w14:paraId="46A4A54C">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交叉</w:t>
            </w:r>
            <w:r>
              <w:rPr>
                <w:rFonts w:hint="eastAsia" w:ascii="仿宋" w:hAnsi="仿宋" w:eastAsia="仿宋" w:cs="仿宋"/>
                <w:b/>
                <w:snapToGrid/>
                <w:kern w:val="0"/>
                <w:sz w:val="24"/>
                <w:szCs w:val="24"/>
                <w:lang w:val="en-GB"/>
              </w:rPr>
              <w:t>核对</w:t>
            </w:r>
            <w:r>
              <w:rPr>
                <w:rFonts w:hint="eastAsia" w:ascii="仿宋" w:hAnsi="仿宋" w:eastAsia="仿宋" w:cs="仿宋"/>
                <w:b/>
                <w:snapToGrid/>
                <w:sz w:val="24"/>
                <w:szCs w:val="28"/>
              </w:rPr>
              <w:t>数据</w:t>
            </w:r>
          </w:p>
        </w:tc>
        <w:tc>
          <w:tcPr>
            <w:tcW w:w="1144" w:type="dxa"/>
            <w:vAlign w:val="center"/>
          </w:tcPr>
          <w:p w14:paraId="6096FC5A">
            <w:pPr>
              <w:spacing w:line="240" w:lineRule="auto"/>
              <w:ind w:firstLine="0" w:firstLineChars="0"/>
              <w:jc w:val="center"/>
              <w:rPr>
                <w:rFonts w:hint="eastAsia" w:ascii="仿宋" w:hAnsi="仿宋" w:eastAsia="仿宋" w:cs="仿宋"/>
                <w:sz w:val="24"/>
              </w:rPr>
            </w:pPr>
            <w:r>
              <w:rPr>
                <w:rFonts w:hint="eastAsia" w:ascii="仿宋" w:hAnsi="仿宋" w:eastAsia="仿宋" w:cs="仿宋"/>
                <w:b/>
                <w:bCs/>
                <w:sz w:val="24"/>
              </w:rPr>
              <w:t>年份</w:t>
            </w:r>
          </w:p>
        </w:tc>
        <w:tc>
          <w:tcPr>
            <w:tcW w:w="5448" w:type="dxa"/>
            <w:vAlign w:val="center"/>
          </w:tcPr>
          <w:p w14:paraId="63C12D69">
            <w:pPr>
              <w:spacing w:line="240" w:lineRule="auto"/>
              <w:ind w:firstLine="0" w:firstLineChars="0"/>
              <w:jc w:val="center"/>
              <w:rPr>
                <w:rFonts w:hint="eastAsia" w:ascii="仿宋" w:hAnsi="仿宋" w:eastAsia="仿宋" w:cs="仿宋"/>
                <w:bCs/>
                <w:snapToGrid/>
                <w:sz w:val="24"/>
                <w:szCs w:val="24"/>
              </w:rPr>
            </w:pPr>
            <w:r>
              <w:rPr>
                <w:rFonts w:hint="eastAsia" w:ascii="仿宋" w:hAnsi="仿宋" w:eastAsia="仿宋" w:cs="仿宋"/>
                <w:sz w:val="24"/>
                <w:szCs w:val="24"/>
              </w:rPr>
              <w:t>《能源统计》</w:t>
            </w:r>
          </w:p>
        </w:tc>
      </w:tr>
      <w:tr w14:paraId="737DA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328D2BB7">
            <w:pPr>
              <w:spacing w:line="240" w:lineRule="auto"/>
              <w:ind w:firstLine="0" w:firstLineChars="0"/>
              <w:jc w:val="center"/>
              <w:rPr>
                <w:rFonts w:hint="eastAsia" w:ascii="仿宋" w:hAnsi="仿宋" w:eastAsia="仿宋" w:cs="仿宋"/>
                <w:b/>
                <w:snapToGrid/>
                <w:sz w:val="24"/>
                <w:szCs w:val="28"/>
              </w:rPr>
            </w:pPr>
          </w:p>
        </w:tc>
        <w:tc>
          <w:tcPr>
            <w:tcW w:w="1144" w:type="dxa"/>
            <w:vAlign w:val="center"/>
          </w:tcPr>
          <w:p w14:paraId="3F606F1E">
            <w:pPr>
              <w:spacing w:line="240" w:lineRule="auto"/>
              <w:ind w:firstLine="0" w:firstLineChars="0"/>
              <w:jc w:val="center"/>
              <w:rPr>
                <w:rFonts w:hint="eastAsia" w:ascii="仿宋" w:hAnsi="仿宋" w:eastAsia="仿宋" w:cs="仿宋"/>
                <w:sz w:val="24"/>
              </w:rPr>
            </w:pPr>
            <w:r>
              <w:rPr>
                <w:rFonts w:hint="eastAsia" w:ascii="仿宋" w:hAnsi="仿宋" w:eastAsia="仿宋" w:cs="仿宋"/>
                <w:b/>
                <w:bCs/>
                <w:sz w:val="24"/>
              </w:rPr>
              <w:t>2023</w:t>
            </w:r>
          </w:p>
        </w:tc>
        <w:tc>
          <w:tcPr>
            <w:tcW w:w="5448" w:type="dxa"/>
            <w:vAlign w:val="center"/>
          </w:tcPr>
          <w:p w14:paraId="059E6C0C">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color w:val="000000" w:themeColor="text1"/>
                <w:sz w:val="24"/>
                <w:szCs w:val="24"/>
                <w14:textFill>
                  <w14:solidFill>
                    <w14:schemeClr w14:val="tx1"/>
                  </w14:solidFill>
                </w14:textFill>
              </w:rPr>
              <w:t>2158</w:t>
            </w:r>
            <w:r>
              <w:rPr>
                <w:rFonts w:hint="eastAsia" w:ascii="仿宋" w:hAnsi="仿宋" w:eastAsia="仿宋" w:cs="仿宋"/>
                <w:color w:val="000000" w:themeColor="text1"/>
                <w:sz w:val="24"/>
                <w:szCs w:val="24"/>
                <w:lang w:val="en-US"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553</w:t>
            </w:r>
          </w:p>
        </w:tc>
      </w:tr>
      <w:tr w14:paraId="2478A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0065A9FB">
            <w:pPr>
              <w:spacing w:line="240" w:lineRule="auto"/>
              <w:ind w:firstLine="0" w:firstLineChars="0"/>
              <w:jc w:val="center"/>
              <w:rPr>
                <w:rFonts w:hint="eastAsia" w:ascii="仿宋" w:hAnsi="仿宋" w:eastAsia="仿宋" w:cs="仿宋"/>
                <w:b/>
                <w:snapToGrid/>
                <w:sz w:val="24"/>
                <w:szCs w:val="28"/>
              </w:rPr>
            </w:pPr>
          </w:p>
        </w:tc>
        <w:tc>
          <w:tcPr>
            <w:tcW w:w="6592" w:type="dxa"/>
            <w:gridSpan w:val="2"/>
            <w:vAlign w:val="center"/>
          </w:tcPr>
          <w:p w14:paraId="394B89BF">
            <w:pPr>
              <w:spacing w:line="240" w:lineRule="auto"/>
              <w:ind w:firstLine="0" w:firstLineChars="0"/>
              <w:rPr>
                <w:rFonts w:hint="eastAsia" w:ascii="仿宋" w:hAnsi="仿宋" w:eastAsia="仿宋" w:cs="仿宋"/>
                <w:sz w:val="24"/>
              </w:rPr>
            </w:pPr>
            <w:r>
              <w:rPr>
                <w:rFonts w:hint="eastAsia" w:ascii="仿宋" w:hAnsi="仿宋" w:eastAsia="仿宋" w:cs="仿宋"/>
                <w:sz w:val="24"/>
              </w:rPr>
              <w:t>1.经核对，核查组确认终版排放报告中</w:t>
            </w:r>
            <w:r>
              <w:rPr>
                <w:rFonts w:hint="eastAsia" w:ascii="仿宋" w:hAnsi="仿宋" w:eastAsia="仿宋" w:cs="仿宋"/>
                <w:sz w:val="24"/>
                <w:szCs w:val="24"/>
              </w:rPr>
              <w:t>净购入电力消耗量的数据来源于《能源统计》。</w:t>
            </w:r>
          </w:p>
        </w:tc>
      </w:tr>
      <w:tr w14:paraId="3F1E6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32EF858A">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核查结论</w:t>
            </w:r>
          </w:p>
        </w:tc>
        <w:tc>
          <w:tcPr>
            <w:tcW w:w="6592" w:type="dxa"/>
            <w:gridSpan w:val="2"/>
            <w:vAlign w:val="center"/>
          </w:tcPr>
          <w:p w14:paraId="5743D42D">
            <w:pPr>
              <w:spacing w:line="240" w:lineRule="auto"/>
              <w:ind w:firstLine="0" w:firstLineChars="0"/>
              <w:rPr>
                <w:rFonts w:hint="eastAsia" w:ascii="仿宋" w:hAnsi="仿宋" w:eastAsia="仿宋" w:cs="仿宋"/>
                <w:sz w:val="24"/>
              </w:rPr>
            </w:pPr>
            <w:r>
              <w:rPr>
                <w:rFonts w:hint="eastAsia" w:ascii="仿宋" w:hAnsi="仿宋" w:eastAsia="仿宋" w:cs="仿宋"/>
                <w:sz w:val="24"/>
              </w:rPr>
              <w:t>核查组确认终版排放报告中</w:t>
            </w:r>
            <w:r>
              <w:rPr>
                <w:rFonts w:hint="eastAsia" w:ascii="仿宋" w:hAnsi="仿宋" w:eastAsia="仿宋" w:cs="仿宋"/>
                <w:sz w:val="24"/>
                <w:szCs w:val="24"/>
              </w:rPr>
              <w:t>净购入电力</w:t>
            </w:r>
            <w:r>
              <w:rPr>
                <w:rFonts w:hint="eastAsia" w:ascii="仿宋" w:hAnsi="仿宋" w:eastAsia="仿宋" w:cs="仿宋"/>
                <w:sz w:val="24"/>
              </w:rPr>
              <w:t>来源于</w:t>
            </w:r>
            <w:r>
              <w:rPr>
                <w:rFonts w:hint="eastAsia" w:ascii="仿宋" w:hAnsi="仿宋" w:eastAsia="仿宋" w:cs="仿宋"/>
                <w:sz w:val="24"/>
                <w:szCs w:val="24"/>
              </w:rPr>
              <w:t>《能源统计》</w:t>
            </w:r>
            <w:r>
              <w:rPr>
                <w:rFonts w:hint="eastAsia" w:ascii="仿宋" w:hAnsi="仿宋" w:eastAsia="仿宋" w:cs="仿宋"/>
                <w:sz w:val="24"/>
              </w:rPr>
              <w:t>,数据源选取合理，符合核算指南要求，数据准确、可靠。</w:t>
            </w:r>
          </w:p>
        </w:tc>
      </w:tr>
    </w:tbl>
    <w:p w14:paraId="6F6DBD22">
      <w:pPr>
        <w:widowControl/>
        <w:ind w:firstLine="0" w:firstLineChars="0"/>
        <w:jc w:val="center"/>
        <w:rPr>
          <w:rFonts w:hint="eastAsia" w:ascii="仿宋" w:hAnsi="仿宋" w:eastAsia="仿宋" w:cs="仿宋"/>
          <w:b/>
          <w:snapToGrid/>
          <w:szCs w:val="21"/>
        </w:rPr>
      </w:pPr>
      <w:r>
        <w:rPr>
          <w:rFonts w:hint="eastAsia" w:ascii="仿宋" w:hAnsi="仿宋" w:eastAsia="仿宋" w:cs="仿宋"/>
          <w:b/>
          <w:snapToGrid/>
          <w:szCs w:val="21"/>
        </w:rPr>
        <w:t>表3-1</w:t>
      </w:r>
      <w:r>
        <w:rPr>
          <w:rFonts w:hint="eastAsia" w:ascii="仿宋" w:hAnsi="仿宋" w:eastAsia="仿宋" w:cs="仿宋"/>
          <w:b/>
          <w:snapToGrid/>
          <w:szCs w:val="21"/>
          <w:lang w:val="en-US" w:eastAsia="zh-CN"/>
        </w:rPr>
        <w:t>4</w:t>
      </w:r>
      <w:r>
        <w:rPr>
          <w:rFonts w:hint="eastAsia" w:ascii="仿宋" w:hAnsi="仿宋" w:eastAsia="仿宋" w:cs="仿宋"/>
          <w:b/>
          <w:snapToGrid/>
          <w:szCs w:val="21"/>
        </w:rPr>
        <w:t xml:space="preserve">  对净购入</w:t>
      </w:r>
      <w:r>
        <w:rPr>
          <w:rFonts w:hint="eastAsia" w:ascii="仿宋" w:hAnsi="仿宋" w:eastAsia="仿宋" w:cs="仿宋"/>
          <w:b/>
          <w:snapToGrid/>
          <w:szCs w:val="21"/>
          <w:lang w:val="en-US" w:eastAsia="zh-CN"/>
        </w:rPr>
        <w:t>热力</w:t>
      </w:r>
      <w:r>
        <w:rPr>
          <w:rFonts w:hint="eastAsia" w:ascii="仿宋" w:hAnsi="仿宋" w:eastAsia="仿宋" w:cs="仿宋"/>
          <w:b/>
          <w:snapToGrid/>
          <w:szCs w:val="21"/>
        </w:rPr>
        <w:t>消耗量的核查</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1144"/>
        <w:gridCol w:w="5448"/>
      </w:tblGrid>
      <w:tr w14:paraId="0136F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restart"/>
            <w:vAlign w:val="center"/>
          </w:tcPr>
          <w:p w14:paraId="68DAA754">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数据值</w:t>
            </w:r>
          </w:p>
        </w:tc>
        <w:tc>
          <w:tcPr>
            <w:tcW w:w="1144" w:type="dxa"/>
            <w:vAlign w:val="center"/>
          </w:tcPr>
          <w:p w14:paraId="6682043A">
            <w:pPr>
              <w:spacing w:line="240" w:lineRule="auto"/>
              <w:ind w:firstLine="0" w:firstLineChars="0"/>
              <w:jc w:val="center"/>
              <w:rPr>
                <w:rFonts w:hint="eastAsia" w:ascii="仿宋" w:hAnsi="仿宋" w:eastAsia="仿宋" w:cs="仿宋"/>
                <w:b/>
                <w:bCs/>
                <w:sz w:val="24"/>
              </w:rPr>
            </w:pPr>
            <w:r>
              <w:rPr>
                <w:rFonts w:hint="eastAsia" w:ascii="仿宋" w:hAnsi="仿宋" w:eastAsia="仿宋" w:cs="仿宋"/>
                <w:b/>
                <w:bCs/>
                <w:sz w:val="24"/>
              </w:rPr>
              <w:t>年份</w:t>
            </w:r>
          </w:p>
        </w:tc>
        <w:tc>
          <w:tcPr>
            <w:tcW w:w="5448" w:type="dxa"/>
            <w:vAlign w:val="center"/>
          </w:tcPr>
          <w:p w14:paraId="43C05138">
            <w:pPr>
              <w:spacing w:line="240" w:lineRule="auto"/>
              <w:ind w:firstLine="0" w:firstLineChars="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数据值</w:t>
            </w:r>
          </w:p>
        </w:tc>
      </w:tr>
      <w:tr w14:paraId="4D73F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73DEF131">
            <w:pPr>
              <w:spacing w:line="240" w:lineRule="auto"/>
              <w:ind w:firstLine="0" w:firstLineChars="0"/>
              <w:jc w:val="center"/>
              <w:rPr>
                <w:rFonts w:hint="eastAsia" w:ascii="仿宋" w:hAnsi="仿宋" w:eastAsia="仿宋" w:cs="仿宋"/>
                <w:b/>
                <w:snapToGrid/>
                <w:sz w:val="24"/>
                <w:szCs w:val="28"/>
              </w:rPr>
            </w:pPr>
          </w:p>
        </w:tc>
        <w:tc>
          <w:tcPr>
            <w:tcW w:w="1144" w:type="dxa"/>
            <w:vAlign w:val="center"/>
          </w:tcPr>
          <w:p w14:paraId="250C16B2">
            <w:pPr>
              <w:spacing w:line="240" w:lineRule="auto"/>
              <w:ind w:firstLine="0" w:firstLineChars="0"/>
              <w:jc w:val="center"/>
              <w:rPr>
                <w:rFonts w:hint="eastAsia" w:ascii="仿宋" w:hAnsi="仿宋" w:eastAsia="仿宋" w:cs="仿宋"/>
                <w:b/>
                <w:bCs/>
                <w:snapToGrid/>
                <w:sz w:val="24"/>
                <w:szCs w:val="28"/>
              </w:rPr>
            </w:pPr>
            <w:r>
              <w:rPr>
                <w:rFonts w:hint="eastAsia" w:ascii="仿宋" w:hAnsi="仿宋" w:eastAsia="仿宋" w:cs="仿宋"/>
                <w:b/>
                <w:bCs/>
                <w:snapToGrid/>
                <w:sz w:val="24"/>
                <w:szCs w:val="28"/>
              </w:rPr>
              <w:t>2023</w:t>
            </w:r>
          </w:p>
        </w:tc>
        <w:tc>
          <w:tcPr>
            <w:tcW w:w="5448" w:type="dxa"/>
            <w:vAlign w:val="center"/>
          </w:tcPr>
          <w:p w14:paraId="19770AB7">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9022</w:t>
            </w:r>
          </w:p>
        </w:tc>
      </w:tr>
      <w:tr w14:paraId="267FA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451895DF">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kern w:val="0"/>
                <w:sz w:val="24"/>
                <w:szCs w:val="24"/>
                <w:lang w:val="en-GB"/>
              </w:rPr>
              <w:t>数据项</w:t>
            </w:r>
          </w:p>
        </w:tc>
        <w:tc>
          <w:tcPr>
            <w:tcW w:w="6592" w:type="dxa"/>
            <w:gridSpan w:val="2"/>
            <w:vAlign w:val="center"/>
          </w:tcPr>
          <w:p w14:paraId="59214607">
            <w:pPr>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净购入</w:t>
            </w:r>
            <w:r>
              <w:rPr>
                <w:rFonts w:hint="eastAsia" w:ascii="仿宋" w:hAnsi="仿宋" w:eastAsia="仿宋" w:cs="仿宋"/>
                <w:sz w:val="24"/>
                <w:szCs w:val="24"/>
                <w:lang w:val="en-US" w:eastAsia="zh-CN"/>
              </w:rPr>
              <w:t>热力</w:t>
            </w:r>
            <w:r>
              <w:rPr>
                <w:rFonts w:hint="eastAsia" w:ascii="仿宋" w:hAnsi="仿宋" w:eastAsia="仿宋" w:cs="仿宋"/>
                <w:sz w:val="24"/>
                <w:szCs w:val="24"/>
              </w:rPr>
              <w:t>消耗量</w:t>
            </w:r>
          </w:p>
        </w:tc>
      </w:tr>
      <w:tr w14:paraId="2888E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61F4083C">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单位</w:t>
            </w:r>
          </w:p>
        </w:tc>
        <w:tc>
          <w:tcPr>
            <w:tcW w:w="6592" w:type="dxa"/>
            <w:gridSpan w:val="2"/>
            <w:vAlign w:val="center"/>
          </w:tcPr>
          <w:p w14:paraId="4816C3CC">
            <w:pPr>
              <w:spacing w:line="240" w:lineRule="auto"/>
              <w:ind w:firstLine="0" w:firstLineChars="0"/>
              <w:jc w:val="left"/>
              <w:rPr>
                <w:rFonts w:hint="default" w:ascii="仿宋" w:hAnsi="仿宋" w:eastAsia="仿宋" w:cs="仿宋"/>
                <w:sz w:val="24"/>
                <w:lang w:val="en-US" w:eastAsia="zh-CN"/>
              </w:rPr>
            </w:pPr>
            <w:r>
              <w:rPr>
                <w:rFonts w:hint="eastAsia" w:ascii="仿宋" w:hAnsi="仿宋" w:eastAsia="仿宋" w:cs="仿宋"/>
                <w:sz w:val="24"/>
                <w:shd w:val="clear"/>
                <w:lang w:val="en-US" w:eastAsia="zh-CN"/>
              </w:rPr>
              <w:t>t</w:t>
            </w:r>
          </w:p>
        </w:tc>
      </w:tr>
      <w:tr w14:paraId="2E79D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0DA72657">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数据来源</w:t>
            </w:r>
          </w:p>
        </w:tc>
        <w:tc>
          <w:tcPr>
            <w:tcW w:w="6592" w:type="dxa"/>
            <w:gridSpan w:val="2"/>
            <w:vAlign w:val="center"/>
          </w:tcPr>
          <w:p w14:paraId="602DD60D">
            <w:pPr>
              <w:spacing w:line="240" w:lineRule="auto"/>
              <w:ind w:firstLine="0" w:firstLineChars="0"/>
              <w:rPr>
                <w:rFonts w:hint="eastAsia" w:ascii="仿宋" w:hAnsi="仿宋" w:eastAsia="仿宋" w:cs="仿宋"/>
                <w:sz w:val="24"/>
              </w:rPr>
            </w:pPr>
            <w:r>
              <w:rPr>
                <w:rFonts w:hint="eastAsia" w:ascii="仿宋" w:hAnsi="仿宋" w:eastAsia="仿宋" w:cs="仿宋"/>
                <w:sz w:val="24"/>
                <w:szCs w:val="24"/>
              </w:rPr>
              <w:t>《能源统计》</w:t>
            </w:r>
          </w:p>
        </w:tc>
      </w:tr>
      <w:tr w14:paraId="496B5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7F8FBB20">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监测方法</w:t>
            </w:r>
          </w:p>
        </w:tc>
        <w:tc>
          <w:tcPr>
            <w:tcW w:w="6592" w:type="dxa"/>
            <w:gridSpan w:val="2"/>
            <w:vAlign w:val="center"/>
          </w:tcPr>
          <w:p w14:paraId="54BC79B4">
            <w:pPr>
              <w:spacing w:line="240" w:lineRule="auto"/>
              <w:ind w:firstLine="0" w:firstLineChars="0"/>
              <w:rPr>
                <w:rFonts w:hint="eastAsia" w:ascii="仿宋" w:hAnsi="仿宋" w:eastAsia="仿宋" w:cs="仿宋"/>
                <w:sz w:val="24"/>
                <w:lang w:val="en-US" w:eastAsia="zh-CN"/>
              </w:rPr>
            </w:pPr>
            <w:r>
              <w:rPr>
                <w:rFonts w:hint="eastAsia" w:ascii="仿宋" w:hAnsi="仿宋" w:eastAsia="仿宋" w:cs="仿宋"/>
                <w:sz w:val="24"/>
                <w:lang w:val="en-US" w:eastAsia="zh-CN"/>
              </w:rPr>
              <w:t>蒸汽表监测</w:t>
            </w:r>
          </w:p>
        </w:tc>
      </w:tr>
      <w:tr w14:paraId="2D8F1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2A53E0EC">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监测频次</w:t>
            </w:r>
          </w:p>
        </w:tc>
        <w:tc>
          <w:tcPr>
            <w:tcW w:w="6592" w:type="dxa"/>
            <w:gridSpan w:val="2"/>
            <w:vAlign w:val="center"/>
          </w:tcPr>
          <w:p w14:paraId="208BD332">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连续监测</w:t>
            </w:r>
          </w:p>
        </w:tc>
      </w:tr>
      <w:tr w14:paraId="6FCC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2B74C1A9">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记录频次</w:t>
            </w:r>
          </w:p>
        </w:tc>
        <w:tc>
          <w:tcPr>
            <w:tcW w:w="6592" w:type="dxa"/>
            <w:gridSpan w:val="2"/>
            <w:vAlign w:val="center"/>
          </w:tcPr>
          <w:p w14:paraId="54E5056E">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每月统计、每年汇总</w:t>
            </w:r>
          </w:p>
        </w:tc>
      </w:tr>
      <w:tr w14:paraId="2F7CC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1DB4E36D">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数据缺失处理</w:t>
            </w:r>
          </w:p>
        </w:tc>
        <w:tc>
          <w:tcPr>
            <w:tcW w:w="6592" w:type="dxa"/>
            <w:gridSpan w:val="2"/>
            <w:vAlign w:val="center"/>
          </w:tcPr>
          <w:p w14:paraId="23F7EA9C">
            <w:pPr>
              <w:spacing w:line="240" w:lineRule="auto"/>
              <w:ind w:firstLine="0" w:firstLineChars="0"/>
              <w:jc w:val="left"/>
              <w:rPr>
                <w:rFonts w:hint="eastAsia" w:ascii="仿宋" w:hAnsi="仿宋" w:eastAsia="仿宋" w:cs="仿宋"/>
                <w:sz w:val="24"/>
              </w:rPr>
            </w:pPr>
            <w:r>
              <w:rPr>
                <w:rFonts w:hint="eastAsia" w:ascii="仿宋" w:hAnsi="仿宋" w:eastAsia="仿宋" w:cs="仿宋"/>
                <w:sz w:val="24"/>
              </w:rPr>
              <w:t>数据无缺失</w:t>
            </w:r>
          </w:p>
        </w:tc>
      </w:tr>
      <w:tr w14:paraId="73F75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4021DEDA">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交叉核对</w:t>
            </w:r>
          </w:p>
        </w:tc>
        <w:tc>
          <w:tcPr>
            <w:tcW w:w="6592" w:type="dxa"/>
            <w:gridSpan w:val="2"/>
            <w:vAlign w:val="center"/>
          </w:tcPr>
          <w:p w14:paraId="376AFD79">
            <w:pPr>
              <w:spacing w:line="240" w:lineRule="auto"/>
              <w:ind w:firstLine="0" w:firstLineChars="0"/>
              <w:rPr>
                <w:rFonts w:hint="eastAsia" w:ascii="仿宋" w:hAnsi="仿宋" w:eastAsia="仿宋" w:cs="仿宋"/>
                <w:sz w:val="24"/>
              </w:rPr>
            </w:pPr>
            <w:r>
              <w:rPr>
                <w:rFonts w:hint="eastAsia" w:ascii="仿宋" w:hAnsi="仿宋" w:eastAsia="仿宋" w:cs="仿宋"/>
                <w:sz w:val="24"/>
              </w:rPr>
              <w:t>无交叉核对</w:t>
            </w:r>
          </w:p>
        </w:tc>
      </w:tr>
      <w:tr w14:paraId="2BD26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restart"/>
            <w:vAlign w:val="center"/>
          </w:tcPr>
          <w:p w14:paraId="703C940C">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交叉</w:t>
            </w:r>
            <w:r>
              <w:rPr>
                <w:rFonts w:hint="eastAsia" w:ascii="仿宋" w:hAnsi="仿宋" w:eastAsia="仿宋" w:cs="仿宋"/>
                <w:b/>
                <w:snapToGrid/>
                <w:kern w:val="0"/>
                <w:sz w:val="24"/>
                <w:szCs w:val="24"/>
                <w:lang w:val="en-GB"/>
              </w:rPr>
              <w:t>核对</w:t>
            </w:r>
            <w:r>
              <w:rPr>
                <w:rFonts w:hint="eastAsia" w:ascii="仿宋" w:hAnsi="仿宋" w:eastAsia="仿宋" w:cs="仿宋"/>
                <w:b/>
                <w:snapToGrid/>
                <w:sz w:val="24"/>
                <w:szCs w:val="28"/>
              </w:rPr>
              <w:t>数据</w:t>
            </w:r>
          </w:p>
        </w:tc>
        <w:tc>
          <w:tcPr>
            <w:tcW w:w="1144" w:type="dxa"/>
            <w:vAlign w:val="center"/>
          </w:tcPr>
          <w:p w14:paraId="1B1F40D3">
            <w:pPr>
              <w:spacing w:line="240" w:lineRule="auto"/>
              <w:ind w:firstLine="0" w:firstLineChars="0"/>
              <w:jc w:val="center"/>
              <w:rPr>
                <w:rFonts w:hint="eastAsia" w:ascii="仿宋" w:hAnsi="仿宋" w:eastAsia="仿宋" w:cs="仿宋"/>
                <w:sz w:val="24"/>
              </w:rPr>
            </w:pPr>
            <w:r>
              <w:rPr>
                <w:rFonts w:hint="eastAsia" w:ascii="仿宋" w:hAnsi="仿宋" w:eastAsia="仿宋" w:cs="仿宋"/>
                <w:b/>
                <w:bCs/>
                <w:sz w:val="24"/>
              </w:rPr>
              <w:t>年份</w:t>
            </w:r>
          </w:p>
        </w:tc>
        <w:tc>
          <w:tcPr>
            <w:tcW w:w="5448" w:type="dxa"/>
            <w:vAlign w:val="center"/>
          </w:tcPr>
          <w:p w14:paraId="0B335624">
            <w:pPr>
              <w:spacing w:line="240" w:lineRule="auto"/>
              <w:ind w:firstLine="0" w:firstLineChars="0"/>
              <w:jc w:val="center"/>
              <w:rPr>
                <w:rFonts w:hint="eastAsia" w:ascii="仿宋" w:hAnsi="仿宋" w:eastAsia="仿宋" w:cs="仿宋"/>
                <w:bCs/>
                <w:snapToGrid/>
                <w:sz w:val="24"/>
                <w:szCs w:val="24"/>
              </w:rPr>
            </w:pPr>
            <w:r>
              <w:rPr>
                <w:rFonts w:hint="eastAsia" w:ascii="仿宋" w:hAnsi="仿宋" w:eastAsia="仿宋" w:cs="仿宋"/>
                <w:sz w:val="24"/>
                <w:szCs w:val="24"/>
              </w:rPr>
              <w:t>《能源统计》</w:t>
            </w:r>
          </w:p>
        </w:tc>
      </w:tr>
      <w:tr w14:paraId="0293D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3E81054A">
            <w:pPr>
              <w:spacing w:line="240" w:lineRule="auto"/>
              <w:ind w:firstLine="0" w:firstLineChars="0"/>
              <w:jc w:val="center"/>
              <w:rPr>
                <w:rFonts w:hint="eastAsia" w:ascii="仿宋" w:hAnsi="仿宋" w:eastAsia="仿宋" w:cs="仿宋"/>
                <w:b/>
                <w:snapToGrid/>
                <w:sz w:val="24"/>
                <w:szCs w:val="28"/>
              </w:rPr>
            </w:pPr>
          </w:p>
        </w:tc>
        <w:tc>
          <w:tcPr>
            <w:tcW w:w="1144" w:type="dxa"/>
            <w:vAlign w:val="center"/>
          </w:tcPr>
          <w:p w14:paraId="50751493">
            <w:pPr>
              <w:spacing w:line="240" w:lineRule="auto"/>
              <w:ind w:firstLine="0" w:firstLineChars="0"/>
              <w:jc w:val="center"/>
              <w:rPr>
                <w:rFonts w:hint="eastAsia" w:ascii="仿宋" w:hAnsi="仿宋" w:eastAsia="仿宋" w:cs="仿宋"/>
                <w:sz w:val="24"/>
              </w:rPr>
            </w:pPr>
            <w:r>
              <w:rPr>
                <w:rFonts w:hint="eastAsia" w:ascii="仿宋" w:hAnsi="仿宋" w:eastAsia="仿宋" w:cs="仿宋"/>
                <w:b/>
                <w:bCs/>
                <w:sz w:val="24"/>
              </w:rPr>
              <w:t>2023</w:t>
            </w:r>
          </w:p>
        </w:tc>
        <w:tc>
          <w:tcPr>
            <w:tcW w:w="5448" w:type="dxa"/>
            <w:vAlign w:val="center"/>
          </w:tcPr>
          <w:p w14:paraId="3A865E67">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9022</w:t>
            </w:r>
          </w:p>
        </w:tc>
      </w:tr>
      <w:tr w14:paraId="1B590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Merge w:val="continue"/>
            <w:vAlign w:val="center"/>
          </w:tcPr>
          <w:p w14:paraId="16EDCE7D">
            <w:pPr>
              <w:spacing w:line="240" w:lineRule="auto"/>
              <w:ind w:firstLine="0" w:firstLineChars="0"/>
              <w:jc w:val="center"/>
              <w:rPr>
                <w:rFonts w:hint="eastAsia" w:ascii="仿宋" w:hAnsi="仿宋" w:eastAsia="仿宋" w:cs="仿宋"/>
                <w:b/>
                <w:snapToGrid/>
                <w:sz w:val="24"/>
                <w:szCs w:val="28"/>
              </w:rPr>
            </w:pPr>
          </w:p>
        </w:tc>
        <w:tc>
          <w:tcPr>
            <w:tcW w:w="6592" w:type="dxa"/>
            <w:gridSpan w:val="2"/>
            <w:vAlign w:val="center"/>
          </w:tcPr>
          <w:p w14:paraId="4C64A480">
            <w:pPr>
              <w:spacing w:line="240" w:lineRule="auto"/>
              <w:ind w:firstLine="0" w:firstLineChars="0"/>
              <w:rPr>
                <w:rFonts w:hint="eastAsia" w:ascii="仿宋" w:hAnsi="仿宋" w:eastAsia="仿宋" w:cs="仿宋"/>
                <w:sz w:val="24"/>
              </w:rPr>
            </w:pPr>
            <w:r>
              <w:rPr>
                <w:rFonts w:hint="eastAsia" w:ascii="仿宋" w:hAnsi="仿宋" w:eastAsia="仿宋" w:cs="仿宋"/>
                <w:sz w:val="24"/>
              </w:rPr>
              <w:t>1.经核对，核查组确认终版排放报告中</w:t>
            </w:r>
            <w:r>
              <w:rPr>
                <w:rFonts w:hint="eastAsia" w:ascii="仿宋" w:hAnsi="仿宋" w:eastAsia="仿宋" w:cs="仿宋"/>
                <w:sz w:val="24"/>
                <w:szCs w:val="24"/>
                <w:highlight w:val="none"/>
              </w:rPr>
              <w:t>净购入</w:t>
            </w:r>
            <w:r>
              <w:rPr>
                <w:rFonts w:hint="eastAsia" w:ascii="仿宋" w:hAnsi="仿宋" w:eastAsia="仿宋" w:cs="仿宋"/>
                <w:sz w:val="24"/>
                <w:szCs w:val="24"/>
                <w:highlight w:val="none"/>
                <w:lang w:val="en-US" w:eastAsia="zh-CN"/>
              </w:rPr>
              <w:t>热</w:t>
            </w:r>
            <w:r>
              <w:rPr>
                <w:rFonts w:hint="eastAsia" w:ascii="仿宋" w:hAnsi="仿宋" w:eastAsia="仿宋" w:cs="仿宋"/>
                <w:sz w:val="24"/>
                <w:szCs w:val="24"/>
                <w:highlight w:val="none"/>
              </w:rPr>
              <w:t>力</w:t>
            </w:r>
            <w:r>
              <w:rPr>
                <w:rFonts w:hint="eastAsia" w:ascii="仿宋" w:hAnsi="仿宋" w:eastAsia="仿宋" w:cs="仿宋"/>
                <w:sz w:val="24"/>
                <w:szCs w:val="24"/>
              </w:rPr>
              <w:t>消耗量的数据来源于《能源统计》。</w:t>
            </w:r>
          </w:p>
        </w:tc>
      </w:tr>
      <w:tr w14:paraId="12B98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0" w:type="dxa"/>
            <w:vAlign w:val="center"/>
          </w:tcPr>
          <w:p w14:paraId="72588034">
            <w:pPr>
              <w:spacing w:line="240" w:lineRule="auto"/>
              <w:ind w:firstLine="0" w:firstLineChars="0"/>
              <w:jc w:val="center"/>
              <w:rPr>
                <w:rFonts w:hint="eastAsia" w:ascii="仿宋" w:hAnsi="仿宋" w:eastAsia="仿宋" w:cs="仿宋"/>
                <w:b/>
                <w:snapToGrid/>
                <w:sz w:val="24"/>
                <w:szCs w:val="28"/>
              </w:rPr>
            </w:pPr>
            <w:r>
              <w:rPr>
                <w:rFonts w:hint="eastAsia" w:ascii="仿宋" w:hAnsi="仿宋" w:eastAsia="仿宋" w:cs="仿宋"/>
                <w:b/>
                <w:snapToGrid/>
                <w:sz w:val="24"/>
                <w:szCs w:val="28"/>
              </w:rPr>
              <w:t>核查结论</w:t>
            </w:r>
          </w:p>
        </w:tc>
        <w:tc>
          <w:tcPr>
            <w:tcW w:w="6592" w:type="dxa"/>
            <w:gridSpan w:val="2"/>
            <w:vAlign w:val="center"/>
          </w:tcPr>
          <w:p w14:paraId="7FE2CABF">
            <w:pPr>
              <w:spacing w:line="240" w:lineRule="auto"/>
              <w:ind w:firstLine="0" w:firstLineChars="0"/>
              <w:rPr>
                <w:rFonts w:hint="eastAsia" w:ascii="仿宋" w:hAnsi="仿宋" w:eastAsia="仿宋" w:cs="仿宋"/>
                <w:sz w:val="24"/>
              </w:rPr>
            </w:pPr>
            <w:r>
              <w:rPr>
                <w:rFonts w:hint="eastAsia" w:ascii="仿宋" w:hAnsi="仿宋" w:eastAsia="仿宋" w:cs="仿宋"/>
                <w:sz w:val="24"/>
              </w:rPr>
              <w:t>核查组确认终版排放报告中</w:t>
            </w:r>
            <w:r>
              <w:rPr>
                <w:rFonts w:hint="eastAsia" w:ascii="仿宋" w:hAnsi="仿宋" w:eastAsia="仿宋" w:cs="仿宋"/>
                <w:sz w:val="24"/>
                <w:szCs w:val="24"/>
              </w:rPr>
              <w:t>净购入</w:t>
            </w:r>
            <w:r>
              <w:rPr>
                <w:rFonts w:hint="eastAsia" w:ascii="仿宋" w:hAnsi="仿宋" w:eastAsia="仿宋" w:cs="仿宋"/>
                <w:sz w:val="24"/>
                <w:szCs w:val="24"/>
                <w:lang w:val="en-US" w:eastAsia="zh-CN"/>
              </w:rPr>
              <w:t>热力</w:t>
            </w:r>
            <w:r>
              <w:rPr>
                <w:rFonts w:hint="eastAsia" w:ascii="仿宋" w:hAnsi="仿宋" w:eastAsia="仿宋" w:cs="仿宋"/>
                <w:sz w:val="24"/>
              </w:rPr>
              <w:t>来源于</w:t>
            </w:r>
            <w:r>
              <w:rPr>
                <w:rFonts w:hint="eastAsia" w:ascii="仿宋" w:hAnsi="仿宋" w:eastAsia="仿宋" w:cs="仿宋"/>
                <w:sz w:val="24"/>
                <w:szCs w:val="24"/>
              </w:rPr>
              <w:t>《能源统计》</w:t>
            </w:r>
            <w:r>
              <w:rPr>
                <w:rFonts w:hint="eastAsia" w:ascii="仿宋" w:hAnsi="仿宋" w:eastAsia="仿宋" w:cs="仿宋"/>
                <w:sz w:val="24"/>
              </w:rPr>
              <w:t>,数据源选取合理，符合核算指南要求，数据准确、可靠。</w:t>
            </w:r>
          </w:p>
        </w:tc>
      </w:tr>
    </w:tbl>
    <w:p w14:paraId="52AB027A">
      <w:pPr>
        <w:keepNext/>
        <w:widowControl/>
        <w:spacing w:beforeLines="50" w:afterLines="50"/>
        <w:ind w:firstLine="0" w:firstLineChars="0"/>
        <w:jc w:val="left"/>
        <w:outlineLvl w:val="3"/>
        <w:rPr>
          <w:rFonts w:hint="eastAsia" w:ascii="仿宋" w:hAnsi="仿宋" w:eastAsia="仿宋" w:cs="仿宋"/>
          <w:b/>
          <w:bCs/>
          <w:snapToGrid/>
          <w:szCs w:val="21"/>
        </w:rPr>
      </w:pPr>
      <w:r>
        <w:rPr>
          <w:rFonts w:hint="eastAsia" w:ascii="仿宋" w:hAnsi="仿宋" w:eastAsia="仿宋" w:cs="仿宋"/>
          <w:b/>
          <w:bCs/>
          <w:snapToGrid/>
          <w:szCs w:val="21"/>
        </w:rPr>
        <w:t>3.4.4.3  补充数据表排放因子和计算系数数据及来源的核查</w:t>
      </w:r>
    </w:p>
    <w:p w14:paraId="5D9FD82C">
      <w:pPr>
        <w:rPr>
          <w:rFonts w:hint="eastAsia" w:ascii="仿宋" w:hAnsi="仿宋" w:eastAsia="仿宋" w:cs="仿宋"/>
          <w:szCs w:val="28"/>
        </w:rPr>
      </w:pPr>
      <w:r>
        <w:rPr>
          <w:rFonts w:hint="eastAsia" w:ascii="仿宋" w:hAnsi="仿宋" w:eastAsia="仿宋" w:cs="仿宋"/>
          <w:szCs w:val="28"/>
        </w:rPr>
        <w:t>核查组对补充数据表中的每一个排放因子和计算系数的数据单位、数据来源、监测方法、监测频次、记录频次、数据缺失处理进行了核查，并对数据进行了交叉核对。具体核查过程见在上文</w:t>
      </w:r>
      <w:r>
        <w:rPr>
          <w:rFonts w:hint="eastAsia" w:ascii="仿宋" w:hAnsi="仿宋" w:eastAsia="仿宋" w:cs="仿宋"/>
          <w:szCs w:val="28"/>
          <w:shd w:val="clear"/>
        </w:rPr>
        <w:t>3.4.2</w:t>
      </w:r>
      <w:r>
        <w:rPr>
          <w:rFonts w:hint="eastAsia" w:ascii="仿宋" w:hAnsi="仿宋" w:eastAsia="仿宋" w:cs="仿宋"/>
          <w:szCs w:val="28"/>
        </w:rPr>
        <w:t>章节。外购电力排放因子采用202</w:t>
      </w:r>
      <w:r>
        <w:rPr>
          <w:rFonts w:hint="eastAsia" w:ascii="仿宋" w:hAnsi="仿宋" w:eastAsia="仿宋" w:cs="仿宋"/>
          <w:szCs w:val="28"/>
          <w:lang w:val="en-US" w:eastAsia="zh-CN"/>
        </w:rPr>
        <w:t>1</w:t>
      </w:r>
      <w:r>
        <w:rPr>
          <w:rFonts w:hint="eastAsia" w:ascii="仿宋" w:hAnsi="仿宋" w:eastAsia="仿宋" w:cs="仿宋"/>
          <w:szCs w:val="28"/>
        </w:rPr>
        <w:t>年全国电网平均排放因子。</w:t>
      </w:r>
    </w:p>
    <w:p w14:paraId="543222B7">
      <w:pPr>
        <w:rPr>
          <w:rFonts w:hint="eastAsia" w:ascii="仿宋" w:hAnsi="仿宋" w:eastAsia="仿宋" w:cs="仿宋"/>
        </w:rPr>
      </w:pPr>
      <w:r>
        <w:rPr>
          <w:rFonts w:hint="eastAsia" w:ascii="仿宋" w:hAnsi="仿宋" w:eastAsia="仿宋" w:cs="仿宋"/>
        </w:rPr>
        <w:t>经核查的补充数据表</w:t>
      </w:r>
      <w:r>
        <w:rPr>
          <w:rFonts w:hint="eastAsia" w:ascii="仿宋" w:hAnsi="仿宋" w:eastAsia="仿宋" w:cs="仿宋"/>
          <w:szCs w:val="28"/>
        </w:rPr>
        <w:t>排放因子和计算系数</w:t>
      </w:r>
      <w:r>
        <w:rPr>
          <w:rFonts w:hint="eastAsia" w:ascii="仿宋" w:hAnsi="仿宋" w:eastAsia="仿宋" w:cs="仿宋"/>
        </w:rPr>
        <w:t>如下表所示：</w:t>
      </w:r>
    </w:p>
    <w:p w14:paraId="20589AAA">
      <w:pPr>
        <w:widowControl/>
        <w:ind w:firstLine="0" w:firstLineChars="0"/>
        <w:jc w:val="center"/>
        <w:rPr>
          <w:rFonts w:hint="eastAsia" w:ascii="仿宋" w:hAnsi="仿宋" w:eastAsia="仿宋" w:cs="仿宋"/>
          <w:b/>
          <w:snapToGrid/>
          <w:szCs w:val="21"/>
        </w:rPr>
      </w:pPr>
      <w:r>
        <w:rPr>
          <w:rFonts w:hint="eastAsia" w:ascii="仿宋" w:hAnsi="仿宋" w:eastAsia="仿宋" w:cs="仿宋"/>
          <w:b/>
          <w:snapToGrid/>
          <w:szCs w:val="21"/>
        </w:rPr>
        <w:t>表3-1</w:t>
      </w:r>
      <w:r>
        <w:rPr>
          <w:rFonts w:hint="eastAsia" w:ascii="仿宋" w:hAnsi="仿宋" w:eastAsia="仿宋" w:cs="仿宋"/>
          <w:b/>
          <w:snapToGrid/>
          <w:szCs w:val="21"/>
          <w:lang w:val="en-US" w:eastAsia="zh-CN"/>
        </w:rPr>
        <w:t>5</w:t>
      </w:r>
      <w:r>
        <w:rPr>
          <w:rFonts w:hint="eastAsia" w:ascii="仿宋" w:hAnsi="仿宋" w:eastAsia="仿宋" w:cs="仿宋"/>
          <w:b/>
          <w:snapToGrid/>
          <w:szCs w:val="21"/>
        </w:rPr>
        <w:t xml:space="preserve">  经核查的排放因子/计算系数</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98"/>
        <w:gridCol w:w="2724"/>
      </w:tblGrid>
      <w:tr w14:paraId="5D8BA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5" w:hRule="atLeast"/>
          <w:jc w:val="center"/>
        </w:trPr>
        <w:tc>
          <w:tcPr>
            <w:tcW w:w="3401" w:type="pct"/>
            <w:vAlign w:val="center"/>
          </w:tcPr>
          <w:p w14:paraId="7674C364">
            <w:pPr>
              <w:adjustRightInd w:val="0"/>
              <w:snapToGrid w:val="0"/>
              <w:spacing w:before="100" w:beforeAutospacing="1" w:after="100" w:afterAutospacing="1"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排放因子和计算系数</w:t>
            </w:r>
          </w:p>
        </w:tc>
        <w:tc>
          <w:tcPr>
            <w:tcW w:w="1598" w:type="pct"/>
            <w:vAlign w:val="center"/>
          </w:tcPr>
          <w:p w14:paraId="1455863E">
            <w:pPr>
              <w:adjustRightInd w:val="0"/>
              <w:snapToGrid w:val="0"/>
              <w:spacing w:before="100" w:beforeAutospacing="1" w:after="100" w:afterAutospacing="1"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2023年</w:t>
            </w:r>
          </w:p>
        </w:tc>
      </w:tr>
      <w:tr w14:paraId="7328B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401" w:type="pct"/>
            <w:vAlign w:val="center"/>
          </w:tcPr>
          <w:p w14:paraId="24450A12">
            <w:pPr>
              <w:adjustRightInd w:val="0"/>
              <w:snapToGrid w:val="0"/>
              <w:spacing w:before="100" w:beforeAutospacing="1" w:after="100" w:afterAutospacing="1"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净购入电力排放因子</w:t>
            </w:r>
          </w:p>
        </w:tc>
        <w:tc>
          <w:tcPr>
            <w:tcW w:w="1598" w:type="pct"/>
            <w:vAlign w:val="center"/>
          </w:tcPr>
          <w:p w14:paraId="14EC13CD">
            <w:pPr>
              <w:adjustRightInd w:val="0"/>
              <w:snapToGrid w:val="0"/>
              <w:spacing w:before="100" w:beforeAutospacing="1" w:after="100" w:afterAutospacing="1" w:line="240" w:lineRule="auto"/>
              <w:ind w:firstLine="0" w:firstLineChars="0"/>
              <w:jc w:val="center"/>
              <w:rPr>
                <w:rFonts w:hint="eastAsia" w:ascii="仿宋" w:hAnsi="仿宋" w:eastAsia="仿宋" w:cs="仿宋"/>
                <w:bCs/>
                <w:sz w:val="24"/>
                <w:szCs w:val="24"/>
              </w:rPr>
            </w:pPr>
            <w:r>
              <w:rPr>
                <w:rFonts w:hint="eastAsia" w:ascii="仿宋" w:hAnsi="仿宋" w:eastAsia="仿宋" w:cs="仿宋"/>
                <w:bCs/>
                <w:sz w:val="24"/>
                <w:szCs w:val="24"/>
              </w:rPr>
              <w:t>0.5568</w:t>
            </w:r>
          </w:p>
        </w:tc>
      </w:tr>
      <w:tr w14:paraId="338B3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401" w:type="pct"/>
            <w:vAlign w:val="center"/>
          </w:tcPr>
          <w:p w14:paraId="48EDC5DA">
            <w:pPr>
              <w:adjustRightInd w:val="0"/>
              <w:snapToGrid w:val="0"/>
              <w:spacing w:before="100" w:beforeAutospacing="1" w:after="100" w:afterAutospacing="1"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shd w:val="clear"/>
              </w:rPr>
              <w:t>净购入</w:t>
            </w:r>
            <w:r>
              <w:rPr>
                <w:rFonts w:hint="eastAsia" w:ascii="仿宋" w:hAnsi="仿宋" w:eastAsia="仿宋" w:cs="仿宋"/>
                <w:b/>
                <w:bCs/>
                <w:sz w:val="24"/>
                <w:szCs w:val="24"/>
                <w:shd w:val="clear"/>
                <w:lang w:val="en-US" w:eastAsia="zh-CN"/>
              </w:rPr>
              <w:t>热</w:t>
            </w:r>
            <w:r>
              <w:rPr>
                <w:rFonts w:hint="eastAsia" w:ascii="仿宋" w:hAnsi="仿宋" w:eastAsia="仿宋" w:cs="仿宋"/>
                <w:b/>
                <w:bCs/>
                <w:sz w:val="24"/>
                <w:szCs w:val="24"/>
                <w:shd w:val="clear"/>
              </w:rPr>
              <w:t>力排放因子</w:t>
            </w:r>
          </w:p>
        </w:tc>
        <w:tc>
          <w:tcPr>
            <w:tcW w:w="1598" w:type="pct"/>
            <w:vAlign w:val="center"/>
          </w:tcPr>
          <w:p w14:paraId="5D68EE88">
            <w:pPr>
              <w:adjustRightInd w:val="0"/>
              <w:snapToGrid w:val="0"/>
              <w:spacing w:before="100" w:beforeAutospacing="1" w:after="100" w:afterAutospacing="1" w:line="240" w:lineRule="auto"/>
              <w:ind w:firstLine="0" w:firstLineChars="0"/>
              <w:jc w:val="center"/>
              <w:rPr>
                <w:rFonts w:hint="default" w:ascii="仿宋" w:hAnsi="仿宋" w:eastAsia="仿宋" w:cs="仿宋"/>
                <w:bCs/>
                <w:sz w:val="24"/>
                <w:szCs w:val="24"/>
                <w:lang w:val="en-US" w:eastAsia="zh-CN"/>
              </w:rPr>
            </w:pPr>
            <w:r>
              <w:rPr>
                <w:rFonts w:hint="eastAsia" w:ascii="仿宋" w:hAnsi="仿宋" w:eastAsia="仿宋" w:cs="仿宋"/>
                <w:bCs/>
                <w:sz w:val="24"/>
                <w:szCs w:val="24"/>
                <w:lang w:val="en-US" w:eastAsia="zh-CN"/>
              </w:rPr>
              <w:t>0.11</w:t>
            </w:r>
          </w:p>
        </w:tc>
      </w:tr>
    </w:tbl>
    <w:p w14:paraId="7822999D">
      <w:pPr>
        <w:keepNext/>
        <w:widowControl/>
        <w:spacing w:beforeLines="50" w:afterLines="50"/>
        <w:ind w:firstLine="0" w:firstLineChars="0"/>
        <w:jc w:val="left"/>
        <w:outlineLvl w:val="3"/>
        <w:rPr>
          <w:rFonts w:hint="eastAsia" w:ascii="仿宋" w:hAnsi="仿宋" w:eastAsia="仿宋" w:cs="仿宋"/>
          <w:b/>
          <w:bCs/>
          <w:snapToGrid/>
          <w:szCs w:val="21"/>
        </w:rPr>
      </w:pPr>
      <w:r>
        <w:rPr>
          <w:rFonts w:hint="eastAsia" w:ascii="仿宋" w:hAnsi="仿宋" w:eastAsia="仿宋" w:cs="仿宋"/>
          <w:b/>
          <w:bCs/>
          <w:snapToGrid/>
          <w:szCs w:val="21"/>
        </w:rPr>
        <w:t>3.4.4.4  补充数据表排放量的核查</w:t>
      </w:r>
    </w:p>
    <w:p w14:paraId="480E7554">
      <w:pPr>
        <w:widowControl/>
        <w:tabs>
          <w:tab w:val="left" w:pos="1418"/>
        </w:tabs>
        <w:rPr>
          <w:rFonts w:hint="eastAsia" w:ascii="仿宋" w:hAnsi="仿宋" w:eastAsia="仿宋" w:cs="仿宋"/>
          <w:snapToGrid/>
          <w:szCs w:val="28"/>
        </w:rPr>
      </w:pPr>
      <w:r>
        <w:rPr>
          <w:rFonts w:hint="eastAsia" w:ascii="仿宋" w:hAnsi="仿宋" w:eastAsia="仿宋" w:cs="仿宋"/>
          <w:snapToGrid/>
          <w:szCs w:val="28"/>
        </w:rPr>
        <w:t>通过对受核查方提交的数据进行计算，核查组确认补充数据表排放量计算公式正确，排放量的累加正确。</w:t>
      </w:r>
    </w:p>
    <w:p w14:paraId="243FF6F8">
      <w:pPr>
        <w:widowControl/>
        <w:spacing w:beforeLines="50"/>
        <w:ind w:firstLine="0" w:firstLineChars="0"/>
        <w:jc w:val="center"/>
        <w:rPr>
          <w:rFonts w:hint="eastAsia" w:ascii="仿宋" w:hAnsi="仿宋" w:eastAsia="仿宋" w:cs="仿宋"/>
          <w:b/>
          <w:snapToGrid/>
          <w:szCs w:val="21"/>
        </w:rPr>
      </w:pPr>
      <w:r>
        <w:rPr>
          <w:rFonts w:hint="eastAsia" w:ascii="仿宋" w:hAnsi="仿宋" w:eastAsia="仿宋" w:cs="仿宋"/>
          <w:b/>
          <w:snapToGrid/>
          <w:szCs w:val="21"/>
        </w:rPr>
        <w:t>表3-</w:t>
      </w:r>
      <w:r>
        <w:rPr>
          <w:rFonts w:hint="eastAsia" w:ascii="仿宋" w:hAnsi="仿宋" w:eastAsia="仿宋" w:cs="仿宋"/>
          <w:b/>
          <w:snapToGrid/>
          <w:szCs w:val="21"/>
          <w:lang w:val="en-US" w:eastAsia="zh-CN"/>
        </w:rPr>
        <w:t>16</w:t>
      </w:r>
      <w:r>
        <w:rPr>
          <w:rFonts w:hint="eastAsia" w:ascii="仿宋" w:hAnsi="仿宋" w:eastAsia="仿宋" w:cs="仿宋"/>
          <w:b/>
          <w:snapToGrid/>
          <w:szCs w:val="21"/>
        </w:rPr>
        <w:t xml:space="preserve">  净购入使用电力产生的排放量计算</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2035"/>
        <w:gridCol w:w="2661"/>
        <w:gridCol w:w="2145"/>
      </w:tblGrid>
      <w:tr w14:paraId="532EB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Merge w:val="restart"/>
            <w:vAlign w:val="center"/>
          </w:tcPr>
          <w:p w14:paraId="0FAADD31">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年份</w:t>
            </w:r>
          </w:p>
        </w:tc>
        <w:tc>
          <w:tcPr>
            <w:tcW w:w="2035" w:type="dxa"/>
            <w:vAlign w:val="center"/>
          </w:tcPr>
          <w:p w14:paraId="3C82A39D">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净购入使用电力</w:t>
            </w:r>
          </w:p>
        </w:tc>
        <w:tc>
          <w:tcPr>
            <w:tcW w:w="2661" w:type="dxa"/>
            <w:vAlign w:val="center"/>
          </w:tcPr>
          <w:p w14:paraId="47EAA88D">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外购电力排放因子</w:t>
            </w:r>
          </w:p>
        </w:tc>
        <w:tc>
          <w:tcPr>
            <w:tcW w:w="2145" w:type="dxa"/>
            <w:vAlign w:val="center"/>
          </w:tcPr>
          <w:p w14:paraId="3FC5D877">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排放量</w:t>
            </w:r>
          </w:p>
        </w:tc>
      </w:tr>
      <w:tr w14:paraId="34DAC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Merge w:val="continue"/>
            <w:vAlign w:val="center"/>
          </w:tcPr>
          <w:p w14:paraId="5447FB30">
            <w:pPr>
              <w:spacing w:line="240" w:lineRule="auto"/>
              <w:ind w:firstLine="0" w:firstLineChars="0"/>
              <w:jc w:val="center"/>
              <w:rPr>
                <w:rFonts w:hint="eastAsia" w:ascii="仿宋" w:hAnsi="仿宋" w:eastAsia="仿宋" w:cs="仿宋"/>
                <w:b/>
                <w:bCs/>
                <w:sz w:val="24"/>
                <w:szCs w:val="24"/>
              </w:rPr>
            </w:pPr>
          </w:p>
        </w:tc>
        <w:tc>
          <w:tcPr>
            <w:tcW w:w="2035" w:type="dxa"/>
            <w:vAlign w:val="center"/>
          </w:tcPr>
          <w:p w14:paraId="28AB93CA">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MWh</w:t>
            </w:r>
          </w:p>
        </w:tc>
        <w:tc>
          <w:tcPr>
            <w:tcW w:w="2661" w:type="dxa"/>
            <w:vAlign w:val="center"/>
          </w:tcPr>
          <w:p w14:paraId="5FA6922C">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e/MWh</w:t>
            </w:r>
          </w:p>
        </w:tc>
        <w:tc>
          <w:tcPr>
            <w:tcW w:w="2145" w:type="dxa"/>
            <w:vAlign w:val="center"/>
          </w:tcPr>
          <w:p w14:paraId="6D692972">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e</w:t>
            </w:r>
          </w:p>
        </w:tc>
      </w:tr>
      <w:tr w14:paraId="1E658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Align w:val="center"/>
          </w:tcPr>
          <w:p w14:paraId="2A1432DA">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2023</w:t>
            </w:r>
          </w:p>
        </w:tc>
        <w:tc>
          <w:tcPr>
            <w:tcW w:w="2035" w:type="dxa"/>
            <w:vAlign w:val="center"/>
          </w:tcPr>
          <w:p w14:paraId="5AD8D905">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color w:val="000000" w:themeColor="text1"/>
                <w:sz w:val="24"/>
                <w:szCs w:val="24"/>
                <w14:textFill>
                  <w14:solidFill>
                    <w14:schemeClr w14:val="tx1"/>
                  </w14:solidFill>
                </w14:textFill>
              </w:rPr>
              <w:t>2158</w:t>
            </w:r>
            <w:r>
              <w:rPr>
                <w:rFonts w:hint="eastAsia" w:ascii="仿宋" w:hAnsi="仿宋" w:eastAsia="仿宋" w:cs="仿宋"/>
                <w:color w:val="000000" w:themeColor="text1"/>
                <w:sz w:val="24"/>
                <w:szCs w:val="24"/>
                <w:lang w:val="en-US"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55</w:t>
            </w:r>
          </w:p>
        </w:tc>
        <w:tc>
          <w:tcPr>
            <w:tcW w:w="2661" w:type="dxa"/>
            <w:vAlign w:val="center"/>
          </w:tcPr>
          <w:p w14:paraId="3C756507">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0.5568</w:t>
            </w:r>
          </w:p>
        </w:tc>
        <w:tc>
          <w:tcPr>
            <w:tcW w:w="2145" w:type="dxa"/>
            <w:vAlign w:val="center"/>
          </w:tcPr>
          <w:p w14:paraId="6B148923">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1201.88</w:t>
            </w:r>
          </w:p>
        </w:tc>
      </w:tr>
    </w:tbl>
    <w:p w14:paraId="1927E491">
      <w:pPr>
        <w:widowControl/>
        <w:spacing w:beforeLines="50"/>
        <w:ind w:firstLine="0" w:firstLineChars="0"/>
        <w:jc w:val="center"/>
        <w:rPr>
          <w:rFonts w:hint="eastAsia" w:ascii="仿宋" w:hAnsi="仿宋" w:eastAsia="仿宋" w:cs="仿宋"/>
          <w:b/>
          <w:snapToGrid/>
          <w:szCs w:val="21"/>
        </w:rPr>
      </w:pPr>
      <w:r>
        <w:rPr>
          <w:rFonts w:hint="eastAsia" w:ascii="仿宋" w:hAnsi="仿宋" w:eastAsia="仿宋" w:cs="仿宋"/>
          <w:b/>
          <w:snapToGrid/>
          <w:szCs w:val="21"/>
        </w:rPr>
        <w:t>表3-</w:t>
      </w:r>
      <w:r>
        <w:rPr>
          <w:rFonts w:hint="eastAsia" w:ascii="仿宋" w:hAnsi="仿宋" w:eastAsia="仿宋" w:cs="仿宋"/>
          <w:b/>
          <w:snapToGrid/>
          <w:szCs w:val="21"/>
          <w:lang w:val="en-US" w:eastAsia="zh-CN"/>
        </w:rPr>
        <w:t>17</w:t>
      </w:r>
      <w:r>
        <w:rPr>
          <w:rFonts w:hint="eastAsia" w:ascii="仿宋" w:hAnsi="仿宋" w:eastAsia="仿宋" w:cs="仿宋"/>
          <w:b/>
          <w:snapToGrid/>
          <w:szCs w:val="21"/>
        </w:rPr>
        <w:t xml:space="preserve">  净购入使用</w:t>
      </w:r>
      <w:r>
        <w:rPr>
          <w:rFonts w:hint="eastAsia" w:ascii="仿宋" w:hAnsi="仿宋" w:eastAsia="仿宋" w:cs="仿宋"/>
          <w:b/>
          <w:snapToGrid/>
          <w:szCs w:val="21"/>
          <w:lang w:val="en-US" w:eastAsia="zh-CN"/>
        </w:rPr>
        <w:t>热</w:t>
      </w:r>
      <w:r>
        <w:rPr>
          <w:rFonts w:hint="eastAsia" w:ascii="仿宋" w:hAnsi="仿宋" w:eastAsia="仿宋" w:cs="仿宋"/>
          <w:b/>
          <w:snapToGrid/>
          <w:szCs w:val="21"/>
        </w:rPr>
        <w:t>力产生的排放量计算</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2035"/>
        <w:gridCol w:w="2661"/>
        <w:gridCol w:w="2145"/>
      </w:tblGrid>
      <w:tr w14:paraId="024FB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Merge w:val="restart"/>
            <w:vAlign w:val="center"/>
          </w:tcPr>
          <w:p w14:paraId="61BFB41C">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年份</w:t>
            </w:r>
          </w:p>
        </w:tc>
        <w:tc>
          <w:tcPr>
            <w:tcW w:w="2035" w:type="dxa"/>
            <w:vAlign w:val="center"/>
          </w:tcPr>
          <w:p w14:paraId="0D092C71">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净购入使用</w:t>
            </w:r>
            <w:r>
              <w:rPr>
                <w:rFonts w:hint="eastAsia" w:ascii="仿宋" w:hAnsi="仿宋" w:eastAsia="仿宋" w:cs="仿宋"/>
                <w:b/>
                <w:bCs/>
                <w:sz w:val="24"/>
                <w:szCs w:val="24"/>
                <w:lang w:val="en-US" w:eastAsia="zh-CN"/>
              </w:rPr>
              <w:t>热</w:t>
            </w:r>
            <w:r>
              <w:rPr>
                <w:rFonts w:hint="eastAsia" w:ascii="仿宋" w:hAnsi="仿宋" w:eastAsia="仿宋" w:cs="仿宋"/>
                <w:b/>
                <w:bCs/>
                <w:sz w:val="24"/>
                <w:szCs w:val="24"/>
              </w:rPr>
              <w:t>力</w:t>
            </w:r>
          </w:p>
        </w:tc>
        <w:tc>
          <w:tcPr>
            <w:tcW w:w="2661" w:type="dxa"/>
            <w:vAlign w:val="center"/>
          </w:tcPr>
          <w:p w14:paraId="7C2F0F7F">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外购</w:t>
            </w:r>
            <w:r>
              <w:rPr>
                <w:rFonts w:hint="eastAsia" w:ascii="仿宋" w:hAnsi="仿宋" w:eastAsia="仿宋" w:cs="仿宋"/>
                <w:b/>
                <w:bCs/>
                <w:sz w:val="24"/>
                <w:szCs w:val="24"/>
                <w:lang w:val="en-US" w:eastAsia="zh-CN"/>
              </w:rPr>
              <w:t>热</w:t>
            </w:r>
            <w:r>
              <w:rPr>
                <w:rFonts w:hint="eastAsia" w:ascii="仿宋" w:hAnsi="仿宋" w:eastAsia="仿宋" w:cs="仿宋"/>
                <w:b/>
                <w:bCs/>
                <w:sz w:val="24"/>
                <w:szCs w:val="24"/>
              </w:rPr>
              <w:t>力排放因子</w:t>
            </w:r>
          </w:p>
        </w:tc>
        <w:tc>
          <w:tcPr>
            <w:tcW w:w="2145" w:type="dxa"/>
            <w:vAlign w:val="center"/>
          </w:tcPr>
          <w:p w14:paraId="7E2998DB">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排放量</w:t>
            </w:r>
          </w:p>
        </w:tc>
      </w:tr>
      <w:tr w14:paraId="0C76C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Merge w:val="continue"/>
            <w:vAlign w:val="center"/>
          </w:tcPr>
          <w:p w14:paraId="013392F6">
            <w:pPr>
              <w:spacing w:line="240" w:lineRule="auto"/>
              <w:ind w:firstLine="0" w:firstLineChars="0"/>
              <w:jc w:val="center"/>
              <w:rPr>
                <w:rFonts w:hint="eastAsia" w:ascii="仿宋" w:hAnsi="仿宋" w:eastAsia="仿宋" w:cs="仿宋"/>
                <w:b/>
                <w:bCs/>
                <w:sz w:val="24"/>
                <w:szCs w:val="24"/>
              </w:rPr>
            </w:pPr>
          </w:p>
        </w:tc>
        <w:tc>
          <w:tcPr>
            <w:tcW w:w="2035" w:type="dxa"/>
            <w:shd w:val="clear" w:color="auto" w:fill="auto"/>
            <w:vAlign w:val="center"/>
          </w:tcPr>
          <w:p w14:paraId="1F40A771">
            <w:pPr>
              <w:spacing w:line="240" w:lineRule="auto"/>
              <w:ind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t</w:t>
            </w:r>
          </w:p>
        </w:tc>
        <w:tc>
          <w:tcPr>
            <w:tcW w:w="2661" w:type="dxa"/>
            <w:shd w:val="clear" w:color="auto" w:fill="auto"/>
            <w:vAlign w:val="center"/>
          </w:tcPr>
          <w:p w14:paraId="2AC5224B">
            <w:pPr>
              <w:spacing w:line="240" w:lineRule="auto"/>
              <w:ind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rPr>
              <w:t>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e/</w:t>
            </w:r>
            <w:r>
              <w:rPr>
                <w:rFonts w:hint="eastAsia" w:ascii="仿宋" w:hAnsi="仿宋" w:eastAsia="仿宋" w:cs="仿宋"/>
                <w:b/>
                <w:bCs/>
                <w:sz w:val="24"/>
                <w:szCs w:val="24"/>
                <w:lang w:val="en-US" w:eastAsia="zh-CN"/>
              </w:rPr>
              <w:t>GJ</w:t>
            </w:r>
          </w:p>
        </w:tc>
        <w:tc>
          <w:tcPr>
            <w:tcW w:w="2145" w:type="dxa"/>
            <w:shd w:val="clear" w:color="auto" w:fill="auto"/>
            <w:vAlign w:val="center"/>
          </w:tcPr>
          <w:p w14:paraId="257D8730">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e</w:t>
            </w:r>
          </w:p>
        </w:tc>
      </w:tr>
      <w:tr w14:paraId="5FC27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1" w:type="dxa"/>
            <w:vAlign w:val="center"/>
          </w:tcPr>
          <w:p w14:paraId="64346A93">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2023</w:t>
            </w:r>
          </w:p>
        </w:tc>
        <w:tc>
          <w:tcPr>
            <w:tcW w:w="2035" w:type="dxa"/>
            <w:vAlign w:val="center"/>
          </w:tcPr>
          <w:p w14:paraId="1275D0A0">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9022</w:t>
            </w:r>
          </w:p>
        </w:tc>
        <w:tc>
          <w:tcPr>
            <w:tcW w:w="2661" w:type="dxa"/>
            <w:vAlign w:val="center"/>
          </w:tcPr>
          <w:p w14:paraId="3CDEC3A6">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0.11</w:t>
            </w:r>
          </w:p>
        </w:tc>
        <w:tc>
          <w:tcPr>
            <w:tcW w:w="2145" w:type="dxa"/>
            <w:vAlign w:val="center"/>
          </w:tcPr>
          <w:p w14:paraId="5FFCD50F">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shd w:val="clear"/>
                <w:lang w:val="en-US" w:eastAsia="zh-CN"/>
              </w:rPr>
              <w:t xml:space="preserve">737.27 </w:t>
            </w:r>
          </w:p>
        </w:tc>
      </w:tr>
    </w:tbl>
    <w:p w14:paraId="016BC683">
      <w:pPr>
        <w:widowControl/>
        <w:spacing w:beforeLines="50"/>
        <w:ind w:firstLine="0" w:firstLineChars="0"/>
        <w:jc w:val="center"/>
        <w:rPr>
          <w:rFonts w:hint="eastAsia" w:ascii="仿宋" w:hAnsi="仿宋" w:eastAsia="仿宋" w:cs="仿宋"/>
          <w:b/>
          <w:snapToGrid/>
          <w:szCs w:val="21"/>
        </w:rPr>
      </w:pPr>
      <w:r>
        <w:rPr>
          <w:rFonts w:hint="eastAsia" w:ascii="仿宋" w:hAnsi="仿宋" w:eastAsia="仿宋" w:cs="仿宋"/>
          <w:b/>
          <w:snapToGrid/>
          <w:szCs w:val="21"/>
        </w:rPr>
        <w:t>表3-</w:t>
      </w:r>
      <w:r>
        <w:rPr>
          <w:rFonts w:hint="eastAsia" w:ascii="仿宋" w:hAnsi="仿宋" w:eastAsia="仿宋" w:cs="仿宋"/>
          <w:b/>
          <w:snapToGrid/>
          <w:szCs w:val="21"/>
          <w:lang w:val="en-US" w:eastAsia="zh-CN"/>
        </w:rPr>
        <w:t>18</w:t>
      </w:r>
      <w:r>
        <w:rPr>
          <w:rFonts w:hint="eastAsia" w:ascii="仿宋" w:hAnsi="仿宋" w:eastAsia="仿宋" w:cs="仿宋"/>
          <w:b/>
          <w:snapToGrid/>
          <w:szCs w:val="21"/>
        </w:rPr>
        <w:t xml:space="preserve"> 受</w:t>
      </w:r>
      <w:r>
        <w:rPr>
          <w:rFonts w:hint="eastAsia" w:ascii="仿宋" w:hAnsi="仿宋" w:eastAsia="仿宋" w:cs="仿宋"/>
          <w:b/>
          <w:bCs/>
          <w:snapToGrid/>
          <w:szCs w:val="24"/>
        </w:rPr>
        <w:t>核查</w:t>
      </w:r>
      <w:r>
        <w:rPr>
          <w:rFonts w:hint="eastAsia" w:ascii="仿宋" w:hAnsi="仿宋" w:eastAsia="仿宋" w:cs="仿宋"/>
          <w:b/>
          <w:snapToGrid/>
          <w:szCs w:val="21"/>
        </w:rPr>
        <w:t>方排放量汇总</w:t>
      </w:r>
    </w:p>
    <w:tbl>
      <w:tblPr>
        <w:tblStyle w:val="27"/>
        <w:tblW w:w="5000" w:type="pct"/>
        <w:jc w:val="center"/>
        <w:tblLayout w:type="autofit"/>
        <w:tblCellMar>
          <w:top w:w="0" w:type="dxa"/>
          <w:left w:w="108" w:type="dxa"/>
          <w:bottom w:w="0" w:type="dxa"/>
          <w:right w:w="108" w:type="dxa"/>
        </w:tblCellMar>
      </w:tblPr>
      <w:tblGrid>
        <w:gridCol w:w="6236"/>
        <w:gridCol w:w="2286"/>
      </w:tblGrid>
      <w:tr w14:paraId="7BA9A88F">
        <w:tblPrEx>
          <w:tblCellMar>
            <w:top w:w="0" w:type="dxa"/>
            <w:left w:w="108" w:type="dxa"/>
            <w:bottom w:w="0" w:type="dxa"/>
            <w:right w:w="108" w:type="dxa"/>
          </w:tblCellMar>
        </w:tblPrEx>
        <w:trPr>
          <w:trHeight w:val="397" w:hRule="atLeast"/>
          <w:jc w:val="center"/>
        </w:trPr>
        <w:tc>
          <w:tcPr>
            <w:tcW w:w="6236" w:type="dxa"/>
            <w:tcBorders>
              <w:top w:val="single" w:color="auto" w:sz="4" w:space="0"/>
              <w:left w:val="single" w:color="auto" w:sz="4" w:space="0"/>
              <w:bottom w:val="single" w:color="auto" w:sz="4" w:space="0"/>
              <w:right w:val="single" w:color="auto" w:sz="4" w:space="0"/>
            </w:tcBorders>
            <w:shd w:val="clear" w:color="000000" w:fill="FFFFFF"/>
            <w:vAlign w:val="center"/>
          </w:tcPr>
          <w:p w14:paraId="5DCEC76A">
            <w:pPr>
              <w:widowControl/>
              <w:spacing w:line="240" w:lineRule="auto"/>
              <w:ind w:firstLine="0" w:firstLineChars="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排放源类别</w:t>
            </w:r>
          </w:p>
        </w:tc>
        <w:tc>
          <w:tcPr>
            <w:tcW w:w="2286" w:type="dxa"/>
            <w:tcBorders>
              <w:top w:val="single" w:color="auto" w:sz="4" w:space="0"/>
              <w:left w:val="nil"/>
              <w:bottom w:val="single" w:color="auto" w:sz="4" w:space="0"/>
              <w:right w:val="single" w:color="auto" w:sz="4" w:space="0"/>
            </w:tcBorders>
            <w:shd w:val="clear" w:color="000000" w:fill="FFFFFF"/>
            <w:vAlign w:val="center"/>
          </w:tcPr>
          <w:p w14:paraId="30B726EC">
            <w:pPr>
              <w:widowControl/>
              <w:spacing w:line="240" w:lineRule="auto"/>
              <w:ind w:firstLine="0" w:firstLineChars="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2023年</w:t>
            </w:r>
          </w:p>
        </w:tc>
      </w:tr>
      <w:tr w14:paraId="57AB5DE2">
        <w:tblPrEx>
          <w:tblCellMar>
            <w:top w:w="0" w:type="dxa"/>
            <w:left w:w="108" w:type="dxa"/>
            <w:bottom w:w="0" w:type="dxa"/>
            <w:right w:w="108" w:type="dxa"/>
          </w:tblCellMar>
        </w:tblPrEx>
        <w:trPr>
          <w:trHeight w:val="397" w:hRule="atLeast"/>
          <w:jc w:val="center"/>
        </w:trPr>
        <w:tc>
          <w:tcPr>
            <w:tcW w:w="6236" w:type="dxa"/>
            <w:tcBorders>
              <w:top w:val="single" w:color="auto" w:sz="4" w:space="0"/>
              <w:left w:val="single" w:color="auto" w:sz="4" w:space="0"/>
              <w:bottom w:val="single" w:color="auto" w:sz="4" w:space="0"/>
              <w:right w:val="single" w:color="auto" w:sz="4" w:space="0"/>
            </w:tcBorders>
            <w:shd w:val="clear" w:color="000000" w:fill="auto"/>
            <w:vAlign w:val="center"/>
          </w:tcPr>
          <w:p w14:paraId="19CC2387">
            <w:pPr>
              <w:pStyle w:val="62"/>
              <w:adjustRightInd/>
              <w:rPr>
                <w:rFonts w:hint="eastAsia" w:ascii="仿宋" w:hAnsi="仿宋" w:eastAsia="仿宋" w:cs="仿宋"/>
                <w:b/>
                <w:bCs/>
                <w:snapToGrid w:val="0"/>
                <w:color w:val="auto"/>
              </w:rPr>
            </w:pPr>
            <w:r>
              <w:rPr>
                <w:rFonts w:hint="eastAsia" w:ascii="仿宋" w:hAnsi="仿宋" w:eastAsia="仿宋" w:cs="仿宋"/>
                <w:b/>
                <w:bCs/>
                <w:snapToGrid w:val="0"/>
                <w:color w:val="auto"/>
              </w:rPr>
              <w:t>化石燃料燃烧排放量(tCO2e）</w:t>
            </w:r>
          </w:p>
        </w:tc>
        <w:tc>
          <w:tcPr>
            <w:tcW w:w="2286" w:type="dxa"/>
            <w:tcBorders>
              <w:top w:val="single" w:color="auto" w:sz="4" w:space="0"/>
              <w:left w:val="nil"/>
              <w:bottom w:val="single" w:color="auto" w:sz="4" w:space="0"/>
              <w:right w:val="single" w:color="auto" w:sz="4" w:space="0"/>
            </w:tcBorders>
            <w:shd w:val="clear" w:color="000000" w:fill="auto"/>
            <w:vAlign w:val="center"/>
          </w:tcPr>
          <w:p w14:paraId="472B922E">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lang w:val="en-US" w:eastAsia="zh-CN"/>
              </w:rPr>
              <w:t>/</w:t>
            </w:r>
          </w:p>
        </w:tc>
      </w:tr>
      <w:tr w14:paraId="447CA76E">
        <w:tblPrEx>
          <w:tblCellMar>
            <w:top w:w="0" w:type="dxa"/>
            <w:left w:w="108" w:type="dxa"/>
            <w:bottom w:w="0" w:type="dxa"/>
            <w:right w:w="108" w:type="dxa"/>
          </w:tblCellMar>
        </w:tblPrEx>
        <w:trPr>
          <w:trHeight w:val="397" w:hRule="atLeast"/>
          <w:jc w:val="center"/>
        </w:trPr>
        <w:tc>
          <w:tcPr>
            <w:tcW w:w="6236" w:type="dxa"/>
            <w:tcBorders>
              <w:top w:val="single" w:color="auto" w:sz="4" w:space="0"/>
              <w:left w:val="single" w:color="auto" w:sz="4" w:space="0"/>
              <w:bottom w:val="single" w:color="auto" w:sz="4" w:space="0"/>
              <w:right w:val="single" w:color="auto" w:sz="4" w:space="0"/>
            </w:tcBorders>
            <w:shd w:val="clear" w:color="000000" w:fill="auto"/>
            <w:vAlign w:val="center"/>
          </w:tcPr>
          <w:p w14:paraId="7047DAB0">
            <w:pPr>
              <w:pStyle w:val="62"/>
              <w:adjustRightInd/>
              <w:rPr>
                <w:rFonts w:hint="eastAsia" w:ascii="仿宋" w:hAnsi="仿宋" w:eastAsia="仿宋" w:cs="仿宋"/>
              </w:rPr>
            </w:pPr>
            <w:r>
              <w:rPr>
                <w:rFonts w:hint="eastAsia" w:ascii="仿宋" w:hAnsi="仿宋" w:eastAsia="仿宋" w:cs="仿宋"/>
                <w:b/>
                <w:bCs/>
                <w:snapToGrid w:val="0"/>
                <w:color w:val="auto"/>
              </w:rPr>
              <w:t>净购入使用的电力产生的排放量（tCO</w:t>
            </w:r>
            <w:r>
              <w:rPr>
                <w:rFonts w:hint="eastAsia" w:ascii="仿宋" w:hAnsi="仿宋" w:eastAsia="仿宋" w:cs="仿宋"/>
                <w:b/>
                <w:bCs/>
                <w:snapToGrid w:val="0"/>
                <w:color w:val="auto"/>
                <w:vertAlign w:val="subscript"/>
              </w:rPr>
              <w:t>2</w:t>
            </w:r>
            <w:r>
              <w:rPr>
                <w:rFonts w:hint="eastAsia" w:ascii="仿宋" w:hAnsi="仿宋" w:eastAsia="仿宋" w:cs="仿宋"/>
                <w:b/>
                <w:bCs/>
                <w:snapToGrid w:val="0"/>
                <w:color w:val="auto"/>
              </w:rPr>
              <w:t>e）</w:t>
            </w:r>
          </w:p>
        </w:tc>
        <w:tc>
          <w:tcPr>
            <w:tcW w:w="2286" w:type="dxa"/>
            <w:tcBorders>
              <w:top w:val="single" w:color="auto" w:sz="4" w:space="0"/>
              <w:left w:val="nil"/>
              <w:bottom w:val="single" w:color="auto" w:sz="4" w:space="0"/>
              <w:right w:val="single" w:color="auto" w:sz="4" w:space="0"/>
            </w:tcBorders>
            <w:vAlign w:val="center"/>
          </w:tcPr>
          <w:p w14:paraId="6C609E46">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1201.88</w:t>
            </w:r>
          </w:p>
        </w:tc>
      </w:tr>
      <w:tr w14:paraId="4281D60C">
        <w:tblPrEx>
          <w:tblCellMar>
            <w:top w:w="0" w:type="dxa"/>
            <w:left w:w="108" w:type="dxa"/>
            <w:bottom w:w="0" w:type="dxa"/>
            <w:right w:w="108" w:type="dxa"/>
          </w:tblCellMar>
        </w:tblPrEx>
        <w:trPr>
          <w:trHeight w:val="397" w:hRule="atLeast"/>
          <w:jc w:val="center"/>
        </w:trPr>
        <w:tc>
          <w:tcPr>
            <w:tcW w:w="6236" w:type="dxa"/>
            <w:tcBorders>
              <w:top w:val="single" w:color="auto" w:sz="4" w:space="0"/>
              <w:left w:val="single" w:color="auto" w:sz="4" w:space="0"/>
              <w:bottom w:val="single" w:color="auto" w:sz="4" w:space="0"/>
              <w:right w:val="single" w:color="auto" w:sz="4" w:space="0"/>
            </w:tcBorders>
            <w:shd w:val="clear" w:color="000000" w:fill="auto"/>
            <w:vAlign w:val="center"/>
          </w:tcPr>
          <w:p w14:paraId="4F97B5D9">
            <w:pPr>
              <w:widowControl/>
              <w:spacing w:line="240" w:lineRule="auto"/>
              <w:ind w:firstLine="0" w:firstLineChars="0"/>
              <w:jc w:val="left"/>
              <w:rPr>
                <w:rFonts w:hint="eastAsia" w:ascii="仿宋" w:hAnsi="仿宋" w:eastAsia="仿宋" w:cs="仿宋"/>
                <w:kern w:val="0"/>
                <w:sz w:val="24"/>
                <w:szCs w:val="24"/>
              </w:rPr>
            </w:pPr>
            <w:r>
              <w:rPr>
                <w:rFonts w:hint="eastAsia" w:ascii="仿宋" w:hAnsi="仿宋" w:eastAsia="仿宋" w:cs="仿宋"/>
                <w:b/>
                <w:bCs/>
                <w:snapToGrid w:val="0"/>
                <w:color w:val="auto"/>
                <w:sz w:val="24"/>
                <w:szCs w:val="24"/>
                <w:highlight w:val="none"/>
              </w:rPr>
              <w:t>净购入使用的</w:t>
            </w:r>
            <w:r>
              <w:rPr>
                <w:rFonts w:hint="eastAsia" w:ascii="仿宋" w:hAnsi="仿宋" w:eastAsia="仿宋" w:cs="仿宋"/>
                <w:b/>
                <w:bCs/>
                <w:snapToGrid w:val="0"/>
                <w:color w:val="auto"/>
                <w:sz w:val="24"/>
                <w:szCs w:val="24"/>
                <w:highlight w:val="none"/>
                <w:lang w:val="en-US" w:eastAsia="zh-CN"/>
              </w:rPr>
              <w:t>热</w:t>
            </w:r>
            <w:r>
              <w:rPr>
                <w:rFonts w:hint="eastAsia" w:ascii="仿宋" w:hAnsi="仿宋" w:eastAsia="仿宋" w:cs="仿宋"/>
                <w:b/>
                <w:bCs/>
                <w:snapToGrid w:val="0"/>
                <w:color w:val="auto"/>
                <w:sz w:val="24"/>
                <w:szCs w:val="24"/>
                <w:highlight w:val="none"/>
              </w:rPr>
              <w:t>力产生的排放量（tCO</w:t>
            </w:r>
            <w:r>
              <w:rPr>
                <w:rFonts w:hint="eastAsia" w:ascii="仿宋" w:hAnsi="仿宋" w:eastAsia="仿宋" w:cs="仿宋"/>
                <w:b/>
                <w:bCs/>
                <w:snapToGrid w:val="0"/>
                <w:color w:val="auto"/>
                <w:sz w:val="24"/>
                <w:szCs w:val="24"/>
                <w:highlight w:val="none"/>
                <w:vertAlign w:val="subscript"/>
              </w:rPr>
              <w:t>2</w:t>
            </w:r>
            <w:r>
              <w:rPr>
                <w:rFonts w:hint="eastAsia" w:ascii="仿宋" w:hAnsi="仿宋" w:eastAsia="仿宋" w:cs="仿宋"/>
                <w:b/>
                <w:bCs/>
                <w:snapToGrid w:val="0"/>
                <w:color w:val="auto"/>
                <w:sz w:val="24"/>
                <w:szCs w:val="24"/>
                <w:highlight w:val="none"/>
              </w:rPr>
              <w:t>e）</w:t>
            </w:r>
          </w:p>
        </w:tc>
        <w:tc>
          <w:tcPr>
            <w:tcW w:w="2286" w:type="dxa"/>
            <w:tcBorders>
              <w:top w:val="single" w:color="auto" w:sz="4" w:space="0"/>
              <w:left w:val="nil"/>
              <w:bottom w:val="single" w:color="auto" w:sz="4" w:space="0"/>
              <w:right w:val="single" w:color="auto" w:sz="4" w:space="0"/>
            </w:tcBorders>
            <w:vAlign w:val="center"/>
          </w:tcPr>
          <w:p w14:paraId="08A481C6">
            <w:pPr>
              <w:spacing w:line="240" w:lineRule="auto"/>
              <w:ind w:firstLine="0" w:firstLineChars="0"/>
              <w:jc w:val="center"/>
              <w:rPr>
                <w:rFonts w:hint="default" w:ascii="仿宋" w:hAnsi="仿宋" w:eastAsia="仿宋" w:cs="仿宋"/>
                <w:sz w:val="24"/>
                <w:szCs w:val="24"/>
                <w:lang w:val="en-US"/>
              </w:rPr>
            </w:pPr>
            <w:r>
              <w:rPr>
                <w:rFonts w:hint="eastAsia" w:ascii="仿宋" w:hAnsi="仿宋" w:eastAsia="仿宋" w:cs="仿宋"/>
                <w:sz w:val="24"/>
                <w:szCs w:val="24"/>
                <w:lang w:val="en-US" w:eastAsia="zh-CN"/>
              </w:rPr>
              <w:t>737.27</w:t>
            </w:r>
          </w:p>
        </w:tc>
      </w:tr>
      <w:tr w14:paraId="4F9C4B10">
        <w:tblPrEx>
          <w:tblCellMar>
            <w:top w:w="0" w:type="dxa"/>
            <w:left w:w="108" w:type="dxa"/>
            <w:bottom w:w="0" w:type="dxa"/>
            <w:right w:w="108" w:type="dxa"/>
          </w:tblCellMar>
        </w:tblPrEx>
        <w:trPr>
          <w:trHeight w:val="397" w:hRule="atLeast"/>
          <w:jc w:val="center"/>
        </w:trPr>
        <w:tc>
          <w:tcPr>
            <w:tcW w:w="6236" w:type="dxa"/>
            <w:tcBorders>
              <w:top w:val="single" w:color="auto" w:sz="4" w:space="0"/>
              <w:left w:val="single" w:color="auto" w:sz="4" w:space="0"/>
              <w:bottom w:val="single" w:color="auto" w:sz="4" w:space="0"/>
              <w:right w:val="single" w:color="auto" w:sz="4" w:space="0"/>
            </w:tcBorders>
            <w:shd w:val="clear" w:color="000000" w:fill="auto"/>
            <w:vAlign w:val="center"/>
          </w:tcPr>
          <w:p w14:paraId="6F5DE264">
            <w:pPr>
              <w:widowControl/>
              <w:spacing w:line="240" w:lineRule="auto"/>
              <w:ind w:firstLine="0" w:firstLineChars="0"/>
              <w:jc w:val="left"/>
              <w:rPr>
                <w:rFonts w:hint="eastAsia" w:ascii="仿宋" w:hAnsi="仿宋" w:eastAsia="仿宋" w:cs="仿宋"/>
                <w:b/>
                <w:bCs/>
                <w:snapToGrid w:val="0"/>
                <w:kern w:val="0"/>
                <w:sz w:val="24"/>
                <w:szCs w:val="24"/>
                <w:lang w:val="en-US" w:eastAsia="zh-CN" w:bidi="ar-SA"/>
              </w:rPr>
            </w:pPr>
            <w:r>
              <w:rPr>
                <w:rFonts w:hint="eastAsia" w:ascii="仿宋" w:hAnsi="仿宋" w:eastAsia="仿宋" w:cs="仿宋"/>
                <w:b/>
                <w:bCs/>
                <w:kern w:val="0"/>
                <w:sz w:val="24"/>
                <w:szCs w:val="24"/>
              </w:rPr>
              <w:t>企业二氧化碳排放总量(</w:t>
            </w:r>
            <w:r>
              <w:rPr>
                <w:rFonts w:hint="eastAsia" w:ascii="仿宋" w:hAnsi="仿宋" w:eastAsia="仿宋" w:cs="仿宋"/>
                <w:b/>
                <w:bCs/>
                <w:sz w:val="24"/>
                <w:szCs w:val="24"/>
              </w:rPr>
              <w:t>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e</w:t>
            </w:r>
            <w:r>
              <w:rPr>
                <w:rFonts w:hint="eastAsia" w:ascii="仿宋" w:hAnsi="仿宋" w:eastAsia="仿宋" w:cs="仿宋"/>
                <w:b/>
                <w:bCs/>
                <w:kern w:val="0"/>
                <w:sz w:val="24"/>
                <w:szCs w:val="24"/>
              </w:rPr>
              <w:t>)</w:t>
            </w:r>
          </w:p>
        </w:tc>
        <w:tc>
          <w:tcPr>
            <w:tcW w:w="2286" w:type="dxa"/>
            <w:tcBorders>
              <w:top w:val="single" w:color="auto" w:sz="4" w:space="0"/>
              <w:left w:val="nil"/>
              <w:bottom w:val="single" w:color="auto" w:sz="4" w:space="0"/>
              <w:right w:val="single" w:color="auto" w:sz="4" w:space="0"/>
            </w:tcBorders>
            <w:shd w:val="clear" w:color="auto" w:fill="auto"/>
            <w:vAlign w:val="center"/>
          </w:tcPr>
          <w:p w14:paraId="43EDB88F">
            <w:pPr>
              <w:spacing w:line="240" w:lineRule="auto"/>
              <w:ind w:firstLine="0" w:firstLineChars="0"/>
              <w:jc w:val="center"/>
              <w:rPr>
                <w:rFonts w:hint="default" w:ascii="仿宋" w:hAnsi="仿宋" w:eastAsia="仿宋" w:cs="仿宋"/>
                <w:snapToGrid w:val="0"/>
                <w:kern w:val="2"/>
                <w:sz w:val="24"/>
                <w:szCs w:val="24"/>
                <w:lang w:val="en-US" w:eastAsia="zh-CN" w:bidi="ar-SA"/>
              </w:rPr>
            </w:pPr>
            <w:r>
              <w:rPr>
                <w:rFonts w:hint="eastAsia" w:ascii="仿宋" w:hAnsi="仿宋" w:eastAsia="仿宋" w:cs="仿宋"/>
                <w:sz w:val="24"/>
                <w:szCs w:val="24"/>
                <w:lang w:val="en-US" w:eastAsia="zh-CN"/>
              </w:rPr>
              <w:t>1939.15</w:t>
            </w:r>
          </w:p>
        </w:tc>
      </w:tr>
    </w:tbl>
    <w:p w14:paraId="2A7862F0">
      <w:pPr>
        <w:keepNext/>
        <w:widowControl/>
        <w:spacing w:beforeLines="50" w:afterLines="50"/>
        <w:ind w:firstLine="0" w:firstLineChars="0"/>
        <w:jc w:val="left"/>
        <w:outlineLvl w:val="3"/>
        <w:rPr>
          <w:rFonts w:hint="eastAsia" w:ascii="仿宋" w:hAnsi="仿宋" w:eastAsia="仿宋" w:cs="仿宋"/>
          <w:b/>
          <w:bCs/>
          <w:snapToGrid/>
          <w:szCs w:val="21"/>
        </w:rPr>
      </w:pPr>
      <w:r>
        <w:rPr>
          <w:rFonts w:hint="eastAsia" w:ascii="仿宋" w:hAnsi="仿宋" w:eastAsia="仿宋" w:cs="仿宋"/>
          <w:b/>
          <w:bCs/>
          <w:snapToGrid/>
          <w:szCs w:val="21"/>
        </w:rPr>
        <w:t>3.4.4.5  补充数据表生产数据的核查</w:t>
      </w:r>
    </w:p>
    <w:p w14:paraId="1B4DF7C4">
      <w:pPr>
        <w:spacing w:before="50" w:after="50"/>
        <w:ind w:firstLine="0" w:firstLineChars="0"/>
        <w:rPr>
          <w:rFonts w:hint="eastAsia" w:ascii="仿宋" w:hAnsi="仿宋" w:eastAsia="仿宋" w:cs="仿宋"/>
          <w:b/>
          <w:bCs/>
          <w:szCs w:val="28"/>
        </w:rPr>
      </w:pPr>
      <w:r>
        <w:rPr>
          <w:rFonts w:hint="eastAsia" w:ascii="仿宋" w:hAnsi="仿宋" w:eastAsia="仿宋" w:cs="仿宋"/>
          <w:b/>
          <w:bCs/>
          <w:szCs w:val="28"/>
        </w:rPr>
        <w:t>补充数据表生产数据1：主营产品产量的核查</w:t>
      </w:r>
    </w:p>
    <w:p w14:paraId="71BD5A17">
      <w:pPr>
        <w:ind w:firstLine="0" w:firstLineChars="0"/>
        <w:jc w:val="center"/>
        <w:rPr>
          <w:rFonts w:hint="eastAsia" w:ascii="仿宋" w:hAnsi="仿宋" w:eastAsia="仿宋" w:cs="仿宋"/>
          <w:b/>
          <w:bCs/>
          <w:szCs w:val="28"/>
        </w:rPr>
      </w:pPr>
      <w:r>
        <w:rPr>
          <w:rFonts w:hint="eastAsia" w:ascii="仿宋" w:hAnsi="仿宋" w:eastAsia="仿宋" w:cs="仿宋"/>
          <w:b/>
          <w:snapToGrid/>
          <w:szCs w:val="21"/>
        </w:rPr>
        <w:t>表3-</w:t>
      </w:r>
      <w:r>
        <w:rPr>
          <w:rFonts w:hint="eastAsia" w:ascii="仿宋" w:hAnsi="仿宋" w:eastAsia="仿宋" w:cs="仿宋"/>
          <w:b/>
          <w:snapToGrid/>
          <w:szCs w:val="21"/>
          <w:lang w:val="en-US" w:eastAsia="zh-CN"/>
        </w:rPr>
        <w:t>19</w:t>
      </w:r>
      <w:r>
        <w:rPr>
          <w:rFonts w:hint="eastAsia" w:ascii="仿宋" w:hAnsi="仿宋" w:eastAsia="仿宋" w:cs="仿宋"/>
          <w:b/>
          <w:snapToGrid/>
          <w:szCs w:val="21"/>
        </w:rPr>
        <w:t xml:space="preserve">  对</w:t>
      </w:r>
      <w:r>
        <w:rPr>
          <w:rFonts w:hint="eastAsia" w:ascii="仿宋" w:hAnsi="仿宋" w:eastAsia="仿宋" w:cs="仿宋"/>
          <w:b/>
          <w:bCs/>
          <w:szCs w:val="28"/>
        </w:rPr>
        <w:t>主营</w:t>
      </w:r>
      <w:r>
        <w:rPr>
          <w:rFonts w:hint="eastAsia" w:ascii="仿宋" w:hAnsi="仿宋" w:eastAsia="仿宋" w:cs="仿宋"/>
          <w:b/>
          <w:snapToGrid/>
          <w:szCs w:val="21"/>
        </w:rPr>
        <w:t>产品</w:t>
      </w:r>
      <w:r>
        <w:rPr>
          <w:rFonts w:hint="eastAsia" w:ascii="仿宋" w:hAnsi="仿宋" w:eastAsia="仿宋" w:cs="仿宋"/>
          <w:b/>
          <w:bCs/>
          <w:szCs w:val="28"/>
        </w:rPr>
        <w:t>产量</w:t>
      </w:r>
      <w:r>
        <w:rPr>
          <w:rFonts w:hint="eastAsia" w:ascii="仿宋" w:hAnsi="仿宋" w:eastAsia="仿宋" w:cs="仿宋"/>
          <w:b/>
          <w:snapToGrid/>
          <w:szCs w:val="21"/>
        </w:rPr>
        <w:t>的核查</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0"/>
        <w:gridCol w:w="1350"/>
        <w:gridCol w:w="2279"/>
        <w:gridCol w:w="2963"/>
      </w:tblGrid>
      <w:tr w14:paraId="2DA8F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2" w:type="pct"/>
            <w:vMerge w:val="restart"/>
            <w:vAlign w:val="center"/>
          </w:tcPr>
          <w:p w14:paraId="04EA34C6">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数据值</w:t>
            </w:r>
          </w:p>
        </w:tc>
        <w:tc>
          <w:tcPr>
            <w:tcW w:w="792" w:type="pct"/>
            <w:vMerge w:val="restart"/>
            <w:vAlign w:val="center"/>
          </w:tcPr>
          <w:p w14:paraId="1C418456">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2023年</w:t>
            </w:r>
          </w:p>
        </w:tc>
        <w:tc>
          <w:tcPr>
            <w:tcW w:w="1337" w:type="pct"/>
            <w:vAlign w:val="center"/>
          </w:tcPr>
          <w:p w14:paraId="15589041">
            <w:pPr>
              <w:pStyle w:val="85"/>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亚磷酸</w:t>
            </w:r>
          </w:p>
        </w:tc>
        <w:tc>
          <w:tcPr>
            <w:tcW w:w="1737" w:type="pct"/>
            <w:vAlign w:val="center"/>
          </w:tcPr>
          <w:p w14:paraId="5F43950D">
            <w:pPr>
              <w:pStyle w:val="85"/>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9690</w:t>
            </w:r>
          </w:p>
        </w:tc>
      </w:tr>
      <w:tr w14:paraId="1F95E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132" w:type="pct"/>
            <w:vMerge w:val="continue"/>
            <w:vAlign w:val="center"/>
          </w:tcPr>
          <w:p w14:paraId="05ACFC08">
            <w:pPr>
              <w:spacing w:line="240" w:lineRule="auto"/>
              <w:ind w:firstLine="0" w:firstLineChars="0"/>
              <w:jc w:val="center"/>
              <w:rPr>
                <w:rFonts w:hint="eastAsia" w:ascii="仿宋" w:hAnsi="仿宋" w:eastAsia="仿宋" w:cs="仿宋"/>
                <w:b/>
                <w:sz w:val="24"/>
                <w:szCs w:val="24"/>
              </w:rPr>
            </w:pPr>
          </w:p>
        </w:tc>
        <w:tc>
          <w:tcPr>
            <w:tcW w:w="792" w:type="pct"/>
            <w:vMerge w:val="continue"/>
            <w:vAlign w:val="center"/>
          </w:tcPr>
          <w:p w14:paraId="5745173B">
            <w:pPr>
              <w:spacing w:line="240" w:lineRule="auto"/>
              <w:ind w:firstLine="0" w:firstLineChars="0"/>
              <w:jc w:val="center"/>
              <w:rPr>
                <w:rFonts w:hint="eastAsia" w:ascii="仿宋" w:hAnsi="仿宋" w:eastAsia="仿宋" w:cs="仿宋"/>
                <w:b/>
                <w:bCs/>
                <w:sz w:val="24"/>
                <w:szCs w:val="24"/>
              </w:rPr>
            </w:pPr>
          </w:p>
        </w:tc>
        <w:tc>
          <w:tcPr>
            <w:tcW w:w="1337" w:type="pct"/>
            <w:vAlign w:val="center"/>
          </w:tcPr>
          <w:p w14:paraId="041B2015">
            <w:pPr>
              <w:pStyle w:val="85"/>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氯乙烷</w:t>
            </w:r>
          </w:p>
        </w:tc>
        <w:tc>
          <w:tcPr>
            <w:tcW w:w="1737" w:type="pct"/>
            <w:vAlign w:val="center"/>
          </w:tcPr>
          <w:p w14:paraId="396ED0E9">
            <w:pPr>
              <w:pStyle w:val="85"/>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15330</w:t>
            </w:r>
          </w:p>
        </w:tc>
      </w:tr>
      <w:tr w14:paraId="037F4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2" w:type="pct"/>
            <w:vAlign w:val="center"/>
          </w:tcPr>
          <w:p w14:paraId="4F1AE49E">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数据项</w:t>
            </w:r>
          </w:p>
        </w:tc>
        <w:tc>
          <w:tcPr>
            <w:tcW w:w="3867" w:type="pct"/>
            <w:gridSpan w:val="3"/>
            <w:vAlign w:val="center"/>
          </w:tcPr>
          <w:p w14:paraId="11B7E22E">
            <w:pPr>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主营产品产量</w:t>
            </w:r>
          </w:p>
        </w:tc>
      </w:tr>
      <w:tr w14:paraId="7BF36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2" w:type="pct"/>
            <w:vAlign w:val="center"/>
          </w:tcPr>
          <w:p w14:paraId="1563AE24">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单位</w:t>
            </w:r>
          </w:p>
        </w:tc>
        <w:tc>
          <w:tcPr>
            <w:tcW w:w="3867" w:type="pct"/>
            <w:gridSpan w:val="3"/>
            <w:vAlign w:val="center"/>
          </w:tcPr>
          <w:p w14:paraId="35B5DC7D">
            <w:pPr>
              <w:spacing w:line="240" w:lineRule="auto"/>
              <w:ind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吨</w:t>
            </w:r>
          </w:p>
        </w:tc>
      </w:tr>
      <w:tr w14:paraId="62553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2" w:type="pct"/>
            <w:vAlign w:val="center"/>
          </w:tcPr>
          <w:p w14:paraId="4525B5ED">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数据来源</w:t>
            </w:r>
          </w:p>
        </w:tc>
        <w:tc>
          <w:tcPr>
            <w:tcW w:w="3867" w:type="pct"/>
            <w:gridSpan w:val="3"/>
            <w:vAlign w:val="center"/>
          </w:tcPr>
          <w:p w14:paraId="37BCC010">
            <w:pPr>
              <w:spacing w:line="240" w:lineRule="auto"/>
              <w:ind w:firstLine="0" w:firstLineChars="0"/>
              <w:jc w:val="left"/>
              <w:rPr>
                <w:rFonts w:hint="eastAsia" w:ascii="仿宋" w:hAnsi="仿宋" w:eastAsia="仿宋" w:cs="仿宋"/>
                <w:bCs/>
                <w:sz w:val="24"/>
                <w:szCs w:val="24"/>
              </w:rPr>
            </w:pPr>
            <w:r>
              <w:rPr>
                <w:rFonts w:hint="eastAsia" w:ascii="仿宋" w:hAnsi="仿宋" w:eastAsia="仿宋" w:cs="仿宋"/>
                <w:sz w:val="24"/>
                <w:szCs w:val="24"/>
              </w:rPr>
              <w:t>《产品产量统计表》</w:t>
            </w:r>
          </w:p>
        </w:tc>
      </w:tr>
      <w:tr w14:paraId="3BCCA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2" w:type="pct"/>
            <w:vAlign w:val="center"/>
          </w:tcPr>
          <w:p w14:paraId="157A8126">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监测方法</w:t>
            </w:r>
          </w:p>
        </w:tc>
        <w:tc>
          <w:tcPr>
            <w:tcW w:w="3867" w:type="pct"/>
            <w:gridSpan w:val="3"/>
            <w:vAlign w:val="center"/>
          </w:tcPr>
          <w:p w14:paraId="0B6411D3">
            <w:pPr>
              <w:spacing w:line="240" w:lineRule="auto"/>
              <w:ind w:firstLine="0" w:firstLineChars="0"/>
              <w:jc w:val="left"/>
              <w:rPr>
                <w:rFonts w:hint="eastAsia" w:ascii="仿宋" w:hAnsi="仿宋" w:eastAsia="仿宋" w:cs="仿宋"/>
                <w:bCs/>
                <w:iCs/>
                <w:color w:val="000000"/>
                <w:sz w:val="24"/>
                <w:szCs w:val="24"/>
              </w:rPr>
            </w:pPr>
            <w:r>
              <w:rPr>
                <w:rFonts w:hint="eastAsia" w:ascii="仿宋" w:hAnsi="仿宋" w:eastAsia="仿宋" w:cs="仿宋"/>
                <w:bCs/>
                <w:iCs/>
                <w:color w:val="000000"/>
                <w:sz w:val="24"/>
                <w:szCs w:val="24"/>
              </w:rPr>
              <w:t>统计计量</w:t>
            </w:r>
          </w:p>
        </w:tc>
      </w:tr>
      <w:tr w14:paraId="5EB18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2" w:type="pct"/>
            <w:vAlign w:val="center"/>
          </w:tcPr>
          <w:p w14:paraId="3A3631D9">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监测频次</w:t>
            </w:r>
          </w:p>
        </w:tc>
        <w:tc>
          <w:tcPr>
            <w:tcW w:w="3867" w:type="pct"/>
            <w:gridSpan w:val="3"/>
            <w:vAlign w:val="center"/>
          </w:tcPr>
          <w:p w14:paraId="12B1B4C8">
            <w:pPr>
              <w:spacing w:line="240" w:lineRule="auto"/>
              <w:ind w:firstLine="0" w:firstLineChars="0"/>
              <w:jc w:val="left"/>
              <w:rPr>
                <w:rFonts w:hint="eastAsia" w:ascii="仿宋" w:hAnsi="仿宋" w:eastAsia="仿宋" w:cs="仿宋"/>
                <w:bCs/>
                <w:iCs/>
                <w:color w:val="000000"/>
                <w:sz w:val="24"/>
                <w:szCs w:val="24"/>
              </w:rPr>
            </w:pPr>
            <w:r>
              <w:rPr>
                <w:rFonts w:hint="eastAsia" w:ascii="仿宋" w:hAnsi="仿宋" w:eastAsia="仿宋" w:cs="仿宋"/>
                <w:bCs/>
                <w:iCs/>
                <w:color w:val="000000"/>
                <w:sz w:val="24"/>
                <w:szCs w:val="24"/>
              </w:rPr>
              <w:t>连续计量</w:t>
            </w:r>
          </w:p>
        </w:tc>
      </w:tr>
      <w:tr w14:paraId="469DC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2" w:type="pct"/>
            <w:vAlign w:val="center"/>
          </w:tcPr>
          <w:p w14:paraId="4D3EB0B9">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记录频次</w:t>
            </w:r>
          </w:p>
        </w:tc>
        <w:tc>
          <w:tcPr>
            <w:tcW w:w="3867" w:type="pct"/>
            <w:gridSpan w:val="3"/>
            <w:vAlign w:val="center"/>
          </w:tcPr>
          <w:p w14:paraId="72F575E8">
            <w:pPr>
              <w:spacing w:line="240" w:lineRule="auto"/>
              <w:ind w:firstLine="0" w:firstLineChars="0"/>
              <w:jc w:val="left"/>
              <w:rPr>
                <w:rFonts w:hint="eastAsia" w:ascii="仿宋" w:hAnsi="仿宋" w:eastAsia="仿宋" w:cs="仿宋"/>
                <w:bCs/>
                <w:iCs/>
                <w:color w:val="000000"/>
                <w:sz w:val="24"/>
                <w:szCs w:val="24"/>
              </w:rPr>
            </w:pPr>
            <w:r>
              <w:rPr>
                <w:rFonts w:hint="eastAsia" w:ascii="仿宋" w:hAnsi="仿宋" w:eastAsia="仿宋" w:cs="仿宋"/>
                <w:bCs/>
                <w:iCs/>
                <w:color w:val="000000"/>
                <w:sz w:val="24"/>
                <w:szCs w:val="24"/>
              </w:rPr>
              <w:t>每天记录，每月、每年汇总</w:t>
            </w:r>
          </w:p>
        </w:tc>
      </w:tr>
      <w:tr w14:paraId="7F750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2" w:type="pct"/>
            <w:vAlign w:val="center"/>
          </w:tcPr>
          <w:p w14:paraId="205D7FCD">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数据缺失处理</w:t>
            </w:r>
          </w:p>
        </w:tc>
        <w:tc>
          <w:tcPr>
            <w:tcW w:w="3867" w:type="pct"/>
            <w:gridSpan w:val="3"/>
            <w:vAlign w:val="center"/>
          </w:tcPr>
          <w:p w14:paraId="5B7D36CE">
            <w:pPr>
              <w:spacing w:line="240" w:lineRule="auto"/>
              <w:ind w:firstLine="0" w:firstLineChars="0"/>
              <w:jc w:val="left"/>
              <w:rPr>
                <w:rFonts w:hint="eastAsia" w:ascii="仿宋" w:hAnsi="仿宋" w:eastAsia="仿宋" w:cs="仿宋"/>
                <w:bCs/>
                <w:iCs/>
                <w:color w:val="000000"/>
                <w:sz w:val="24"/>
                <w:szCs w:val="24"/>
              </w:rPr>
            </w:pPr>
            <w:r>
              <w:rPr>
                <w:rFonts w:hint="eastAsia" w:ascii="仿宋" w:hAnsi="仿宋" w:eastAsia="仿宋" w:cs="仿宋"/>
                <w:bCs/>
                <w:iCs/>
                <w:color w:val="000000"/>
                <w:sz w:val="24"/>
                <w:szCs w:val="24"/>
              </w:rPr>
              <w:t>无缺失</w:t>
            </w:r>
          </w:p>
        </w:tc>
      </w:tr>
      <w:tr w14:paraId="215E7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132" w:type="pct"/>
            <w:vAlign w:val="center"/>
          </w:tcPr>
          <w:p w14:paraId="54F98FE6">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交叉核对</w:t>
            </w:r>
          </w:p>
        </w:tc>
        <w:tc>
          <w:tcPr>
            <w:tcW w:w="3867" w:type="pct"/>
            <w:gridSpan w:val="3"/>
            <w:vAlign w:val="center"/>
          </w:tcPr>
          <w:p w14:paraId="2D89C86F">
            <w:pPr>
              <w:spacing w:line="240" w:lineRule="auto"/>
              <w:ind w:firstLine="0" w:firstLineChars="0"/>
              <w:jc w:val="left"/>
              <w:rPr>
                <w:rFonts w:hint="eastAsia" w:ascii="仿宋" w:hAnsi="仿宋" w:eastAsia="仿宋" w:cs="仿宋"/>
                <w:bCs/>
                <w:sz w:val="24"/>
                <w:szCs w:val="24"/>
              </w:rPr>
            </w:pPr>
            <w:r>
              <w:rPr>
                <w:rFonts w:hint="eastAsia" w:ascii="仿宋" w:hAnsi="仿宋" w:eastAsia="仿宋" w:cs="仿宋"/>
                <w:bCs/>
                <w:iCs/>
                <w:color w:val="000000"/>
                <w:sz w:val="24"/>
                <w:szCs w:val="24"/>
              </w:rPr>
              <w:t>2023年度企业主营产品产量来源于</w:t>
            </w:r>
            <w:r>
              <w:rPr>
                <w:rFonts w:hint="eastAsia" w:ascii="仿宋" w:hAnsi="仿宋" w:eastAsia="仿宋" w:cs="仿宋"/>
                <w:sz w:val="24"/>
                <w:szCs w:val="24"/>
              </w:rPr>
              <w:t>《产品产量统计表》</w:t>
            </w:r>
            <w:r>
              <w:rPr>
                <w:rFonts w:hint="eastAsia" w:ascii="仿宋" w:hAnsi="仿宋" w:eastAsia="仿宋" w:cs="仿宋"/>
                <w:bCs/>
                <w:iCs/>
                <w:color w:val="000000"/>
                <w:sz w:val="24"/>
                <w:szCs w:val="24"/>
              </w:rPr>
              <w:t>；企业未提供与之交叉和对的数据。</w:t>
            </w:r>
          </w:p>
        </w:tc>
      </w:tr>
      <w:tr w14:paraId="5421C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2" w:type="pct"/>
            <w:vAlign w:val="center"/>
          </w:tcPr>
          <w:p w14:paraId="166998FC">
            <w:pPr>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核查结论</w:t>
            </w:r>
          </w:p>
        </w:tc>
        <w:tc>
          <w:tcPr>
            <w:tcW w:w="3867" w:type="pct"/>
            <w:gridSpan w:val="3"/>
            <w:vAlign w:val="center"/>
          </w:tcPr>
          <w:p w14:paraId="7F8DCC2F">
            <w:pPr>
              <w:spacing w:line="240" w:lineRule="auto"/>
              <w:ind w:firstLine="0" w:firstLineChars="0"/>
              <w:rPr>
                <w:rFonts w:hint="eastAsia" w:ascii="仿宋" w:hAnsi="仿宋" w:eastAsia="仿宋" w:cs="仿宋"/>
                <w:bCs/>
                <w:sz w:val="24"/>
                <w:szCs w:val="24"/>
              </w:rPr>
            </w:pPr>
            <w:r>
              <w:rPr>
                <w:rFonts w:hint="eastAsia" w:ascii="仿宋" w:hAnsi="仿宋" w:eastAsia="仿宋" w:cs="仿宋"/>
                <w:bCs/>
                <w:iCs/>
                <w:color w:val="000000"/>
                <w:sz w:val="24"/>
                <w:szCs w:val="24"/>
              </w:rPr>
              <w:t>核查组确认排放报告（终版）中的2023年度企业主营产品产量数据源选取合理，符合核算指南要求，</w:t>
            </w:r>
            <w:r>
              <w:rPr>
                <w:rFonts w:hint="eastAsia" w:ascii="仿宋" w:hAnsi="仿宋" w:eastAsia="仿宋" w:cs="仿宋"/>
                <w:sz w:val="24"/>
              </w:rPr>
              <w:t>数据准确、可靠。</w:t>
            </w:r>
          </w:p>
        </w:tc>
      </w:tr>
    </w:tbl>
    <w:p w14:paraId="3B032756">
      <w:pPr>
        <w:rPr>
          <w:rFonts w:hint="eastAsia" w:ascii="仿宋" w:hAnsi="仿宋" w:eastAsia="仿宋" w:cs="仿宋"/>
          <w:bCs/>
          <w:snapToGrid/>
          <w:szCs w:val="24"/>
        </w:rPr>
      </w:pPr>
      <w:r>
        <w:rPr>
          <w:rFonts w:hint="eastAsia" w:ascii="仿宋" w:hAnsi="仿宋" w:eastAsia="仿宋" w:cs="仿宋"/>
          <w:bCs/>
          <w:snapToGrid/>
          <w:szCs w:val="24"/>
        </w:rPr>
        <w:t>综上所述，通过文件评审和现场访问，核查组确认最终补充数据表数据及来源真实、可靠、正确，符合《核算指南》要求。</w:t>
      </w:r>
      <w:r>
        <w:rPr>
          <w:rFonts w:hint="eastAsia" w:ascii="仿宋" w:hAnsi="仿宋" w:eastAsia="仿宋" w:cs="仿宋"/>
          <w:bCs/>
          <w:snapToGrid/>
          <w:szCs w:val="28"/>
        </w:rPr>
        <w:t>经核查后的2023年度《补充数据》见下表。</w:t>
      </w:r>
    </w:p>
    <w:p w14:paraId="053E6654">
      <w:pPr>
        <w:spacing w:beforeLines="50" w:line="480" w:lineRule="exact"/>
        <w:rPr>
          <w:rFonts w:hint="eastAsia" w:ascii="仿宋" w:hAnsi="仿宋" w:eastAsia="仿宋" w:cs="仿宋"/>
          <w:bCs/>
          <w:snapToGrid/>
          <w:szCs w:val="28"/>
        </w:rPr>
        <w:sectPr>
          <w:headerReference r:id="rId16" w:type="default"/>
          <w:footerReference r:id="rId17" w:type="default"/>
          <w:pgSz w:w="11906" w:h="16838"/>
          <w:pgMar w:top="1440" w:right="1800" w:bottom="1440" w:left="1800" w:header="851" w:footer="992" w:gutter="0"/>
          <w:cols w:space="720" w:num="1"/>
          <w:docGrid w:type="lines" w:linePitch="312" w:charSpace="0"/>
        </w:sectPr>
      </w:pPr>
    </w:p>
    <w:tbl>
      <w:tblPr>
        <w:tblStyle w:val="27"/>
        <w:tblpPr w:leftFromText="180" w:rightFromText="180" w:vertAnchor="text" w:horzAnchor="page" w:tblpX="1439" w:tblpY="845"/>
        <w:tblOverlap w:val="never"/>
        <w:tblW w:w="5000" w:type="pct"/>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8" w:type="dxa"/>
          <w:bottom w:w="0" w:type="dxa"/>
          <w:right w:w="108" w:type="dxa"/>
        </w:tblCellMar>
      </w:tblPr>
      <w:tblGrid>
        <w:gridCol w:w="5284"/>
        <w:gridCol w:w="2821"/>
        <w:gridCol w:w="6069"/>
      </w:tblGrid>
      <w:tr w14:paraId="2B8B6F5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trPr>
        <w:tc>
          <w:tcPr>
            <w:tcW w:w="1864" w:type="pct"/>
            <w:tcBorders>
              <w:bottom w:val="single" w:color="auto" w:sz="4" w:space="0"/>
              <w:right w:val="single" w:color="auto" w:sz="4" w:space="0"/>
            </w:tcBorders>
            <w:shd w:val="clear" w:color="000000" w:fill="D9D9D9"/>
            <w:vAlign w:val="center"/>
          </w:tcPr>
          <w:p w14:paraId="7E871FB5">
            <w:pPr>
              <w:widowControl/>
              <w:spacing w:line="240" w:lineRule="auto"/>
              <w:ind w:firstLine="0" w:firstLineChars="0"/>
              <w:jc w:val="center"/>
              <w:rPr>
                <w:rFonts w:hint="eastAsia" w:ascii="仿宋" w:hAnsi="仿宋" w:eastAsia="仿宋" w:cs="仿宋"/>
                <w:snapToGrid/>
                <w:kern w:val="0"/>
                <w:sz w:val="21"/>
                <w:szCs w:val="21"/>
              </w:rPr>
            </w:pPr>
            <w:bookmarkStart w:id="343" w:name="_Toc6173_WPSOffice_Level3"/>
            <w:bookmarkStart w:id="344" w:name="_Toc10278_WPSOffice_Level3"/>
            <w:bookmarkStart w:id="345" w:name="_Toc8139_WPSOffice_Level3"/>
            <w:bookmarkStart w:id="346" w:name="_Toc11851_WPSOffice_Level3"/>
            <w:r>
              <w:rPr>
                <w:rFonts w:hint="eastAsia" w:ascii="仿宋" w:hAnsi="仿宋" w:eastAsia="仿宋" w:cs="仿宋"/>
                <w:snapToGrid/>
                <w:kern w:val="0"/>
                <w:sz w:val="21"/>
                <w:szCs w:val="21"/>
              </w:rPr>
              <w:t>补充数据</w:t>
            </w:r>
          </w:p>
        </w:tc>
        <w:tc>
          <w:tcPr>
            <w:tcW w:w="995" w:type="pct"/>
            <w:tcBorders>
              <w:left w:val="nil"/>
              <w:bottom w:val="single" w:color="auto" w:sz="4" w:space="0"/>
              <w:right w:val="single" w:color="auto" w:sz="4" w:space="0"/>
            </w:tcBorders>
            <w:shd w:val="clear" w:color="000000" w:fill="D9D9D9"/>
            <w:vAlign w:val="center"/>
          </w:tcPr>
          <w:p w14:paraId="5162E236">
            <w:pPr>
              <w:widowControl/>
              <w:spacing w:line="240" w:lineRule="auto"/>
              <w:ind w:firstLine="0" w:firstLineChars="0"/>
              <w:jc w:val="center"/>
              <w:rPr>
                <w:rFonts w:hint="eastAsia" w:ascii="仿宋" w:hAnsi="仿宋" w:eastAsia="仿宋" w:cs="仿宋"/>
                <w:snapToGrid/>
                <w:kern w:val="0"/>
                <w:sz w:val="21"/>
                <w:szCs w:val="21"/>
              </w:rPr>
            </w:pPr>
            <w:r>
              <w:rPr>
                <w:rFonts w:hint="eastAsia" w:ascii="仿宋" w:hAnsi="仿宋" w:eastAsia="仿宋" w:cs="仿宋"/>
                <w:snapToGrid/>
                <w:kern w:val="0"/>
                <w:sz w:val="21"/>
                <w:szCs w:val="21"/>
              </w:rPr>
              <w:t>2023</w:t>
            </w:r>
          </w:p>
        </w:tc>
        <w:tc>
          <w:tcPr>
            <w:tcW w:w="2141" w:type="pct"/>
            <w:tcBorders>
              <w:left w:val="nil"/>
              <w:bottom w:val="single" w:color="auto" w:sz="4" w:space="0"/>
            </w:tcBorders>
            <w:shd w:val="clear" w:color="000000" w:fill="D9D9D9"/>
            <w:vAlign w:val="center"/>
          </w:tcPr>
          <w:p w14:paraId="4A778DFD">
            <w:pPr>
              <w:widowControl/>
              <w:spacing w:line="240" w:lineRule="auto"/>
              <w:ind w:firstLine="0" w:firstLineChars="0"/>
              <w:jc w:val="center"/>
              <w:rPr>
                <w:rFonts w:hint="eastAsia" w:ascii="仿宋" w:hAnsi="仿宋" w:eastAsia="仿宋" w:cs="仿宋"/>
                <w:snapToGrid/>
                <w:kern w:val="0"/>
                <w:sz w:val="21"/>
                <w:szCs w:val="21"/>
              </w:rPr>
            </w:pPr>
            <w:r>
              <w:rPr>
                <w:rFonts w:hint="eastAsia" w:ascii="仿宋" w:hAnsi="仿宋" w:eastAsia="仿宋" w:cs="仿宋"/>
                <w:snapToGrid/>
                <w:kern w:val="0"/>
                <w:sz w:val="21"/>
                <w:szCs w:val="21"/>
              </w:rPr>
              <w:t>计算方法或填写要求</w:t>
            </w:r>
          </w:p>
        </w:tc>
      </w:tr>
      <w:tr w14:paraId="021B6F99">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trPr>
        <w:tc>
          <w:tcPr>
            <w:tcW w:w="1864" w:type="pct"/>
            <w:tcBorders>
              <w:top w:val="nil"/>
              <w:bottom w:val="single" w:color="auto" w:sz="4" w:space="0"/>
              <w:right w:val="single" w:color="auto" w:sz="4" w:space="0"/>
            </w:tcBorders>
            <w:vAlign w:val="center"/>
          </w:tcPr>
          <w:p w14:paraId="6AFD9822">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1 二氧化碳排放总量（tCO</w:t>
            </w:r>
            <w:r>
              <w:rPr>
                <w:rFonts w:hint="eastAsia" w:ascii="仿宋" w:hAnsi="仿宋" w:eastAsia="仿宋" w:cs="仿宋"/>
                <w:snapToGrid/>
                <w:kern w:val="0"/>
                <w:sz w:val="21"/>
                <w:szCs w:val="21"/>
                <w:vertAlign w:val="subscript"/>
              </w:rPr>
              <w:t>2</w:t>
            </w:r>
            <w:r>
              <w:rPr>
                <w:rFonts w:hint="eastAsia" w:ascii="仿宋" w:hAnsi="仿宋" w:eastAsia="仿宋" w:cs="仿宋"/>
                <w:snapToGrid/>
                <w:kern w:val="0"/>
                <w:sz w:val="21"/>
                <w:szCs w:val="21"/>
              </w:rPr>
              <w:t>）</w:t>
            </w:r>
          </w:p>
        </w:tc>
        <w:tc>
          <w:tcPr>
            <w:tcW w:w="995" w:type="pct"/>
            <w:tcBorders>
              <w:top w:val="nil"/>
              <w:left w:val="nil"/>
              <w:bottom w:val="single" w:color="auto" w:sz="4" w:space="0"/>
              <w:right w:val="single" w:color="auto" w:sz="4" w:space="0"/>
            </w:tcBorders>
            <w:shd w:val="clear" w:color="auto" w:fill="auto"/>
            <w:vAlign w:val="center"/>
          </w:tcPr>
          <w:p w14:paraId="3E3E1C90">
            <w:pPr>
              <w:pStyle w:val="66"/>
              <w:adjustRightInd/>
              <w:rPr>
                <w:rFonts w:hint="default" w:ascii="仿宋" w:hAnsi="仿宋" w:eastAsia="仿宋" w:cs="仿宋"/>
                <w:bCs/>
                <w:szCs w:val="24"/>
                <w:highlight w:val="none"/>
                <w:lang w:val="en-US" w:eastAsia="zh-CN"/>
              </w:rPr>
            </w:pPr>
            <w:r>
              <w:rPr>
                <w:rFonts w:hint="eastAsia" w:ascii="仿宋" w:hAnsi="仿宋" w:eastAsia="仿宋" w:cs="仿宋"/>
                <w:szCs w:val="24"/>
                <w:highlight w:val="none"/>
                <w:shd w:val="clear"/>
                <w:lang w:val="en-US" w:eastAsia="zh-CN"/>
              </w:rPr>
              <w:t>1939.15</w:t>
            </w:r>
          </w:p>
        </w:tc>
        <w:tc>
          <w:tcPr>
            <w:tcW w:w="2141" w:type="pct"/>
            <w:tcBorders>
              <w:top w:val="nil"/>
              <w:left w:val="nil"/>
              <w:bottom w:val="single" w:color="auto" w:sz="4" w:space="0"/>
            </w:tcBorders>
            <w:vAlign w:val="center"/>
          </w:tcPr>
          <w:p w14:paraId="63EF96CA">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1.1，1.2，1.3和1.4之和</w:t>
            </w:r>
          </w:p>
        </w:tc>
      </w:tr>
      <w:tr w14:paraId="6CE7A29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trPr>
        <w:tc>
          <w:tcPr>
            <w:tcW w:w="1864" w:type="pct"/>
            <w:tcBorders>
              <w:top w:val="nil"/>
              <w:bottom w:val="single" w:color="auto" w:sz="4" w:space="0"/>
              <w:right w:val="single" w:color="auto" w:sz="4" w:space="0"/>
            </w:tcBorders>
            <w:vAlign w:val="center"/>
          </w:tcPr>
          <w:p w14:paraId="73C88AFC">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 xml:space="preserve">  1.1 化石燃料燃烧排放量（tCO</w:t>
            </w:r>
            <w:r>
              <w:rPr>
                <w:rFonts w:hint="eastAsia" w:ascii="仿宋" w:hAnsi="仿宋" w:eastAsia="仿宋" w:cs="仿宋"/>
                <w:snapToGrid/>
                <w:kern w:val="0"/>
                <w:sz w:val="21"/>
                <w:szCs w:val="21"/>
                <w:vertAlign w:val="subscript"/>
              </w:rPr>
              <w:t>2</w:t>
            </w:r>
            <w:r>
              <w:rPr>
                <w:rFonts w:hint="eastAsia" w:ascii="仿宋" w:hAnsi="仿宋" w:eastAsia="仿宋" w:cs="仿宋"/>
                <w:snapToGrid/>
                <w:kern w:val="0"/>
                <w:sz w:val="21"/>
                <w:szCs w:val="21"/>
              </w:rPr>
              <w:t>）</w:t>
            </w:r>
          </w:p>
        </w:tc>
        <w:tc>
          <w:tcPr>
            <w:tcW w:w="995" w:type="pct"/>
            <w:tcBorders>
              <w:top w:val="nil"/>
              <w:left w:val="nil"/>
              <w:bottom w:val="single" w:color="auto" w:sz="4" w:space="0"/>
              <w:right w:val="single" w:color="auto" w:sz="4" w:space="0"/>
            </w:tcBorders>
            <w:shd w:val="clear" w:color="auto" w:fill="auto"/>
            <w:vAlign w:val="center"/>
          </w:tcPr>
          <w:p w14:paraId="1FFAB64A">
            <w:pPr>
              <w:spacing w:line="240" w:lineRule="auto"/>
              <w:ind w:firstLine="0" w:firstLineChars="0"/>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w:t>
            </w:r>
          </w:p>
        </w:tc>
        <w:tc>
          <w:tcPr>
            <w:tcW w:w="2141" w:type="pct"/>
            <w:tcBorders>
              <w:top w:val="nil"/>
              <w:left w:val="nil"/>
              <w:bottom w:val="single" w:color="auto" w:sz="4" w:space="0"/>
            </w:tcBorders>
            <w:vAlign w:val="center"/>
          </w:tcPr>
          <w:p w14:paraId="128130AE">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按核算与报告指南公式计算</w:t>
            </w:r>
          </w:p>
        </w:tc>
      </w:tr>
      <w:tr w14:paraId="1151F7B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trPr>
        <w:tc>
          <w:tcPr>
            <w:tcW w:w="1864" w:type="pct"/>
            <w:tcBorders>
              <w:top w:val="nil"/>
              <w:bottom w:val="single" w:color="auto" w:sz="4" w:space="0"/>
              <w:right w:val="single" w:color="auto" w:sz="4" w:space="0"/>
            </w:tcBorders>
            <w:vAlign w:val="center"/>
          </w:tcPr>
          <w:p w14:paraId="0211C342">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 xml:space="preserve">  1.2 净购入电力对应的排放量（tCO</w:t>
            </w:r>
            <w:r>
              <w:rPr>
                <w:rFonts w:hint="eastAsia" w:ascii="仿宋" w:hAnsi="仿宋" w:eastAsia="仿宋" w:cs="仿宋"/>
                <w:snapToGrid/>
                <w:kern w:val="0"/>
                <w:sz w:val="21"/>
                <w:szCs w:val="21"/>
                <w:vertAlign w:val="subscript"/>
              </w:rPr>
              <w:t>2</w:t>
            </w:r>
            <w:r>
              <w:rPr>
                <w:rFonts w:hint="eastAsia" w:ascii="仿宋" w:hAnsi="仿宋" w:eastAsia="仿宋" w:cs="仿宋"/>
                <w:snapToGrid/>
                <w:kern w:val="0"/>
                <w:sz w:val="21"/>
                <w:szCs w:val="21"/>
              </w:rPr>
              <w:t>）</w:t>
            </w:r>
          </w:p>
        </w:tc>
        <w:tc>
          <w:tcPr>
            <w:tcW w:w="995" w:type="pct"/>
            <w:tcBorders>
              <w:top w:val="nil"/>
              <w:left w:val="nil"/>
              <w:bottom w:val="single" w:color="auto" w:sz="4" w:space="0"/>
              <w:right w:val="single" w:color="auto" w:sz="4" w:space="0"/>
            </w:tcBorders>
            <w:shd w:val="clear" w:color="auto" w:fill="auto"/>
            <w:vAlign w:val="center"/>
          </w:tcPr>
          <w:p w14:paraId="6A2BE9A7">
            <w:pPr>
              <w:spacing w:line="240" w:lineRule="auto"/>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1201.88</w:t>
            </w:r>
          </w:p>
        </w:tc>
        <w:tc>
          <w:tcPr>
            <w:tcW w:w="2141" w:type="pct"/>
            <w:tcBorders>
              <w:top w:val="nil"/>
              <w:left w:val="nil"/>
              <w:bottom w:val="single" w:color="auto" w:sz="4" w:space="0"/>
            </w:tcBorders>
            <w:vAlign w:val="center"/>
          </w:tcPr>
          <w:p w14:paraId="7E293CAF">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按核算与报告指南公式计算</w:t>
            </w:r>
          </w:p>
        </w:tc>
      </w:tr>
      <w:tr w14:paraId="7C5BD226">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trPr>
        <w:tc>
          <w:tcPr>
            <w:tcW w:w="1864" w:type="pct"/>
            <w:tcBorders>
              <w:top w:val="nil"/>
              <w:bottom w:val="single" w:color="auto" w:sz="4" w:space="0"/>
              <w:right w:val="single" w:color="auto" w:sz="4" w:space="0"/>
            </w:tcBorders>
            <w:vAlign w:val="center"/>
          </w:tcPr>
          <w:p w14:paraId="7A32416D">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 xml:space="preserve">  1.3 净购入热力对应的排放量（tCO</w:t>
            </w:r>
            <w:r>
              <w:rPr>
                <w:rFonts w:hint="eastAsia" w:ascii="仿宋" w:hAnsi="仿宋" w:eastAsia="仿宋" w:cs="仿宋"/>
                <w:snapToGrid/>
                <w:kern w:val="0"/>
                <w:sz w:val="21"/>
                <w:szCs w:val="21"/>
                <w:vertAlign w:val="subscript"/>
              </w:rPr>
              <w:t>2</w:t>
            </w:r>
            <w:r>
              <w:rPr>
                <w:rFonts w:hint="eastAsia" w:ascii="仿宋" w:hAnsi="仿宋" w:eastAsia="仿宋" w:cs="仿宋"/>
                <w:snapToGrid/>
                <w:kern w:val="0"/>
                <w:sz w:val="21"/>
                <w:szCs w:val="21"/>
              </w:rPr>
              <w:t>）</w:t>
            </w:r>
          </w:p>
        </w:tc>
        <w:tc>
          <w:tcPr>
            <w:tcW w:w="995" w:type="pct"/>
            <w:tcBorders>
              <w:top w:val="nil"/>
              <w:left w:val="nil"/>
              <w:bottom w:val="single" w:color="auto" w:sz="4" w:space="0"/>
              <w:right w:val="single" w:color="auto" w:sz="4" w:space="0"/>
            </w:tcBorders>
            <w:shd w:val="clear" w:color="auto" w:fill="auto"/>
            <w:vAlign w:val="center"/>
          </w:tcPr>
          <w:p w14:paraId="460A234D">
            <w:pPr>
              <w:pStyle w:val="66"/>
              <w:adjustRightInd/>
              <w:rPr>
                <w:rFonts w:hint="default" w:ascii="仿宋" w:hAnsi="仿宋" w:eastAsia="仿宋" w:cs="仿宋"/>
                <w:highlight w:val="none"/>
                <w:lang w:val="en-US" w:eastAsia="zh-CN"/>
              </w:rPr>
            </w:pPr>
            <w:r>
              <w:rPr>
                <w:rFonts w:hint="eastAsia" w:ascii="仿宋" w:hAnsi="仿宋" w:eastAsia="仿宋" w:cs="仿宋"/>
                <w:bCs/>
                <w:szCs w:val="24"/>
                <w:highlight w:val="none"/>
                <w:lang w:val="en-US" w:eastAsia="zh-CN"/>
              </w:rPr>
              <w:t>737.27</w:t>
            </w:r>
          </w:p>
        </w:tc>
        <w:tc>
          <w:tcPr>
            <w:tcW w:w="2141" w:type="pct"/>
            <w:tcBorders>
              <w:top w:val="nil"/>
              <w:left w:val="nil"/>
              <w:bottom w:val="single" w:color="auto" w:sz="4" w:space="0"/>
            </w:tcBorders>
            <w:vAlign w:val="center"/>
          </w:tcPr>
          <w:p w14:paraId="4FB7C8DB">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按核算与报告指南公式计算</w:t>
            </w:r>
          </w:p>
        </w:tc>
      </w:tr>
      <w:tr w14:paraId="00A9B6FE">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1864" w:type="pct"/>
            <w:tcBorders>
              <w:top w:val="single" w:color="auto" w:sz="4" w:space="0"/>
              <w:bottom w:val="single" w:color="auto" w:sz="4" w:space="0"/>
              <w:right w:val="single" w:color="auto" w:sz="4" w:space="0"/>
            </w:tcBorders>
            <w:vAlign w:val="center"/>
          </w:tcPr>
          <w:p w14:paraId="6B8E6A76">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2 主营产品产量（</w:t>
            </w:r>
            <w:r>
              <w:rPr>
                <w:rFonts w:hint="eastAsia" w:ascii="仿宋" w:hAnsi="仿宋" w:eastAsia="仿宋" w:cs="仿宋"/>
                <w:snapToGrid/>
                <w:kern w:val="0"/>
                <w:sz w:val="21"/>
                <w:szCs w:val="21"/>
                <w:lang w:val="en-US" w:eastAsia="zh-CN"/>
              </w:rPr>
              <w:t>吨</w:t>
            </w:r>
            <w:r>
              <w:rPr>
                <w:rFonts w:hint="eastAsia" w:ascii="仿宋" w:hAnsi="仿宋" w:eastAsia="仿宋" w:cs="仿宋"/>
                <w:snapToGrid/>
                <w:kern w:val="0"/>
                <w:sz w:val="21"/>
                <w:szCs w:val="21"/>
              </w:rPr>
              <w:t>）</w:t>
            </w:r>
          </w:p>
        </w:tc>
        <w:tc>
          <w:tcPr>
            <w:tcW w:w="995" w:type="pct"/>
            <w:tcBorders>
              <w:top w:val="single" w:color="auto" w:sz="4" w:space="0"/>
              <w:left w:val="nil"/>
              <w:bottom w:val="single" w:color="auto" w:sz="4" w:space="0"/>
              <w:right w:val="single" w:color="auto" w:sz="4" w:space="0"/>
            </w:tcBorders>
            <w:shd w:val="clear" w:color="auto" w:fill="auto"/>
            <w:vAlign w:val="center"/>
          </w:tcPr>
          <w:p w14:paraId="1C3CD467">
            <w:pPr>
              <w:pStyle w:val="66"/>
              <w:adjustRightInd/>
              <w:rPr>
                <w:rFonts w:hint="eastAsia" w:ascii="仿宋" w:hAnsi="仿宋" w:eastAsia="仿宋" w:cs="仿宋"/>
                <w:bCs/>
                <w:szCs w:val="24"/>
                <w:highlight w:val="none"/>
              </w:rPr>
            </w:pPr>
            <w:r>
              <w:rPr>
                <w:rFonts w:hint="eastAsia" w:ascii="仿宋" w:hAnsi="仿宋" w:eastAsia="仿宋" w:cs="仿宋"/>
                <w:bCs/>
                <w:szCs w:val="24"/>
                <w:highlight w:val="none"/>
              </w:rPr>
              <w:t>27219</w:t>
            </w:r>
          </w:p>
        </w:tc>
        <w:tc>
          <w:tcPr>
            <w:tcW w:w="2141" w:type="pct"/>
            <w:vMerge w:val="restart"/>
            <w:tcBorders>
              <w:top w:val="nil"/>
              <w:left w:val="nil"/>
            </w:tcBorders>
            <w:vAlign w:val="center"/>
          </w:tcPr>
          <w:p w14:paraId="5F99F3E0">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优先选用企业计量数据，如生产日志或月度、年度统计报表 其次选用报送统计局数据</w:t>
            </w:r>
          </w:p>
        </w:tc>
      </w:tr>
      <w:tr w14:paraId="1C682DB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trPr>
        <w:tc>
          <w:tcPr>
            <w:tcW w:w="1864" w:type="pct"/>
            <w:tcBorders>
              <w:top w:val="single" w:color="auto" w:sz="4" w:space="0"/>
              <w:bottom w:val="single" w:color="auto" w:sz="4" w:space="0"/>
              <w:right w:val="single" w:color="auto" w:sz="4" w:space="0"/>
            </w:tcBorders>
            <w:vAlign w:val="center"/>
          </w:tcPr>
          <w:p w14:paraId="421C09DA">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3 主营产品产值（万元）</w:t>
            </w:r>
          </w:p>
        </w:tc>
        <w:tc>
          <w:tcPr>
            <w:tcW w:w="995" w:type="pct"/>
            <w:tcBorders>
              <w:top w:val="single" w:color="auto" w:sz="4" w:space="0"/>
              <w:left w:val="nil"/>
              <w:bottom w:val="single" w:color="auto" w:sz="4" w:space="0"/>
              <w:right w:val="single" w:color="auto" w:sz="4" w:space="0"/>
            </w:tcBorders>
            <w:shd w:val="clear" w:color="auto" w:fill="auto"/>
            <w:vAlign w:val="center"/>
          </w:tcPr>
          <w:p w14:paraId="191F2363">
            <w:pPr>
              <w:pStyle w:val="66"/>
              <w:adjustRightInd/>
              <w:rPr>
                <w:rFonts w:hint="eastAsia" w:ascii="仿宋" w:hAnsi="仿宋" w:eastAsia="仿宋" w:cs="仿宋"/>
                <w:bCs/>
                <w:szCs w:val="24"/>
                <w:highlight w:val="none"/>
                <w:lang w:val="en-US" w:eastAsia="zh-CN"/>
              </w:rPr>
            </w:pPr>
            <w:r>
              <w:rPr>
                <w:rFonts w:hint="eastAsia" w:ascii="仿宋" w:hAnsi="仿宋" w:eastAsia="仿宋" w:cs="仿宋"/>
                <w:bCs/>
                <w:szCs w:val="24"/>
                <w:highlight w:val="none"/>
              </w:rPr>
              <w:t>24470.7</w:t>
            </w:r>
            <w:r>
              <w:rPr>
                <w:rFonts w:hint="eastAsia" w:ascii="仿宋" w:hAnsi="仿宋" w:eastAsia="仿宋" w:cs="仿宋"/>
                <w:bCs/>
                <w:szCs w:val="24"/>
                <w:highlight w:val="none"/>
                <w:lang w:val="en-US" w:eastAsia="zh-CN"/>
              </w:rPr>
              <w:t>0</w:t>
            </w:r>
          </w:p>
        </w:tc>
        <w:tc>
          <w:tcPr>
            <w:tcW w:w="2141" w:type="pct"/>
            <w:vMerge w:val="continue"/>
            <w:tcBorders>
              <w:left w:val="nil"/>
              <w:bottom w:val="single" w:color="auto" w:sz="4" w:space="0"/>
            </w:tcBorders>
            <w:vAlign w:val="center"/>
          </w:tcPr>
          <w:p w14:paraId="06286559">
            <w:pPr>
              <w:widowControl/>
              <w:spacing w:line="240" w:lineRule="auto"/>
              <w:ind w:firstLine="0" w:firstLineChars="0"/>
              <w:rPr>
                <w:rFonts w:hint="eastAsia" w:ascii="仿宋" w:hAnsi="仿宋" w:eastAsia="仿宋" w:cs="仿宋"/>
                <w:snapToGrid/>
                <w:kern w:val="0"/>
                <w:sz w:val="21"/>
                <w:szCs w:val="21"/>
              </w:rPr>
            </w:pPr>
          </w:p>
        </w:tc>
      </w:tr>
      <w:tr w14:paraId="4095CEDF">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7" w:hRule="atLeast"/>
        </w:trPr>
        <w:tc>
          <w:tcPr>
            <w:tcW w:w="1864" w:type="pct"/>
            <w:tcBorders>
              <w:top w:val="nil"/>
              <w:bottom w:val="single" w:color="auto" w:sz="4" w:space="0"/>
              <w:right w:val="single" w:color="auto" w:sz="4" w:space="0"/>
            </w:tcBorders>
            <w:vAlign w:val="center"/>
          </w:tcPr>
          <w:p w14:paraId="59D40586">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4单位产品碳排放量（tCO2/万套）</w:t>
            </w:r>
          </w:p>
        </w:tc>
        <w:tc>
          <w:tcPr>
            <w:tcW w:w="995" w:type="pct"/>
            <w:tcBorders>
              <w:top w:val="nil"/>
              <w:left w:val="nil"/>
              <w:bottom w:val="single" w:color="auto" w:sz="4" w:space="0"/>
              <w:right w:val="single" w:color="auto" w:sz="4" w:space="0"/>
            </w:tcBorders>
            <w:shd w:val="clear" w:color="auto" w:fill="auto"/>
            <w:vAlign w:val="center"/>
          </w:tcPr>
          <w:p w14:paraId="65EB2F10">
            <w:pPr>
              <w:pStyle w:val="66"/>
              <w:adjustRightInd/>
              <w:rPr>
                <w:rFonts w:hint="eastAsia" w:ascii="仿宋" w:hAnsi="仿宋" w:eastAsia="仿宋" w:cs="仿宋"/>
                <w:sz w:val="22"/>
                <w:szCs w:val="24"/>
              </w:rPr>
            </w:pPr>
            <w:r>
              <w:rPr>
                <w:rFonts w:hint="eastAsia" w:ascii="仿宋" w:hAnsi="仿宋" w:eastAsia="仿宋" w:cs="仿宋"/>
                <w:sz w:val="22"/>
                <w:szCs w:val="24"/>
              </w:rPr>
              <w:t>/</w:t>
            </w:r>
          </w:p>
        </w:tc>
        <w:tc>
          <w:tcPr>
            <w:tcW w:w="2141" w:type="pct"/>
            <w:tcBorders>
              <w:top w:val="single" w:color="auto" w:sz="4" w:space="0"/>
              <w:left w:val="nil"/>
              <w:bottom w:val="single" w:color="auto" w:sz="4" w:space="0"/>
            </w:tcBorders>
            <w:vAlign w:val="center"/>
          </w:tcPr>
          <w:p w14:paraId="47C27B1A">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二氧化碳排放总量/主营产品产量</w:t>
            </w:r>
          </w:p>
        </w:tc>
      </w:tr>
      <w:tr w14:paraId="38BE8087">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2" w:hRule="atLeast"/>
        </w:trPr>
        <w:tc>
          <w:tcPr>
            <w:tcW w:w="1864" w:type="pct"/>
            <w:tcBorders>
              <w:top w:val="single" w:color="auto" w:sz="4" w:space="0"/>
              <w:right w:val="single" w:color="auto" w:sz="4" w:space="0"/>
            </w:tcBorders>
            <w:vAlign w:val="center"/>
          </w:tcPr>
          <w:p w14:paraId="663B9E5B">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4单位产值碳排放量（tCO2/万元）</w:t>
            </w:r>
          </w:p>
        </w:tc>
        <w:tc>
          <w:tcPr>
            <w:tcW w:w="995" w:type="pct"/>
            <w:tcBorders>
              <w:top w:val="single" w:color="auto" w:sz="4" w:space="0"/>
              <w:left w:val="nil"/>
              <w:right w:val="single" w:color="auto" w:sz="4" w:space="0"/>
            </w:tcBorders>
            <w:shd w:val="clear" w:color="auto" w:fill="auto"/>
            <w:vAlign w:val="center"/>
          </w:tcPr>
          <w:p w14:paraId="1AFB50FC">
            <w:pPr>
              <w:pStyle w:val="66"/>
              <w:adjustRightInd/>
              <w:rPr>
                <w:rFonts w:hint="default" w:ascii="仿宋" w:hAnsi="仿宋" w:eastAsia="仿宋" w:cs="仿宋"/>
                <w:sz w:val="22"/>
                <w:szCs w:val="24"/>
                <w:lang w:val="en-US" w:eastAsia="zh-CN"/>
              </w:rPr>
            </w:pPr>
            <w:r>
              <w:rPr>
                <w:rFonts w:hint="eastAsia" w:ascii="仿宋" w:hAnsi="仿宋" w:eastAsia="仿宋" w:cs="仿宋"/>
                <w:sz w:val="22"/>
                <w:szCs w:val="24"/>
                <w:shd w:val="clear"/>
                <w:lang w:val="en-US" w:eastAsia="zh-CN"/>
              </w:rPr>
              <w:t>0.0829</w:t>
            </w:r>
          </w:p>
        </w:tc>
        <w:tc>
          <w:tcPr>
            <w:tcW w:w="2141" w:type="pct"/>
            <w:tcBorders>
              <w:top w:val="single" w:color="auto" w:sz="4" w:space="0"/>
              <w:left w:val="nil"/>
            </w:tcBorders>
            <w:vAlign w:val="center"/>
          </w:tcPr>
          <w:p w14:paraId="7298D192">
            <w:pPr>
              <w:widowControl/>
              <w:spacing w:line="240" w:lineRule="auto"/>
              <w:ind w:firstLine="0" w:firstLineChars="0"/>
              <w:rPr>
                <w:rFonts w:hint="eastAsia" w:ascii="仿宋" w:hAnsi="仿宋" w:eastAsia="仿宋" w:cs="仿宋"/>
                <w:snapToGrid/>
                <w:kern w:val="0"/>
                <w:sz w:val="21"/>
                <w:szCs w:val="21"/>
              </w:rPr>
            </w:pPr>
            <w:r>
              <w:rPr>
                <w:rFonts w:hint="eastAsia" w:ascii="仿宋" w:hAnsi="仿宋" w:eastAsia="仿宋" w:cs="仿宋"/>
                <w:snapToGrid/>
                <w:kern w:val="0"/>
                <w:sz w:val="21"/>
                <w:szCs w:val="21"/>
              </w:rPr>
              <w:t>二氧化碳排放总量/主营产品产值</w:t>
            </w:r>
          </w:p>
        </w:tc>
      </w:tr>
    </w:tbl>
    <w:p w14:paraId="08A3D0D6">
      <w:pPr>
        <w:spacing w:line="240" w:lineRule="auto"/>
        <w:ind w:firstLine="0" w:firstLineChars="0"/>
        <w:jc w:val="center"/>
        <w:rPr>
          <w:rFonts w:hint="eastAsia" w:ascii="仿宋" w:hAnsi="仿宋" w:eastAsia="仿宋" w:cs="仿宋"/>
          <w:b/>
          <w:snapToGrid/>
          <w:szCs w:val="21"/>
          <w:highlight w:val="none"/>
        </w:rPr>
      </w:pPr>
      <w:r>
        <w:rPr>
          <w:rFonts w:hint="eastAsia" w:ascii="仿宋" w:hAnsi="仿宋" w:eastAsia="仿宋" w:cs="仿宋"/>
          <w:b/>
          <w:snapToGrid/>
          <w:szCs w:val="21"/>
          <w:highlight w:val="none"/>
        </w:rPr>
        <w:t>表3-2</w:t>
      </w:r>
      <w:r>
        <w:rPr>
          <w:rFonts w:hint="eastAsia" w:ascii="仿宋" w:hAnsi="仿宋" w:eastAsia="仿宋" w:cs="仿宋"/>
          <w:b/>
          <w:snapToGrid/>
          <w:szCs w:val="21"/>
          <w:highlight w:val="none"/>
          <w:lang w:val="en-US" w:eastAsia="zh-CN"/>
        </w:rPr>
        <w:t>0</w:t>
      </w:r>
      <w:r>
        <w:rPr>
          <w:rFonts w:hint="eastAsia" w:ascii="仿宋" w:hAnsi="仿宋" w:eastAsia="仿宋" w:cs="仿宋"/>
          <w:b/>
          <w:snapToGrid/>
          <w:szCs w:val="21"/>
          <w:highlight w:val="none"/>
        </w:rPr>
        <w:t xml:space="preserve">  </w:t>
      </w:r>
      <w:r>
        <w:rPr>
          <w:rFonts w:hint="eastAsia" w:ascii="仿宋" w:hAnsi="仿宋" w:eastAsia="仿宋" w:cs="仿宋"/>
          <w:b/>
          <w:snapToGrid/>
          <w:szCs w:val="21"/>
          <w:highlight w:val="none"/>
          <w:u w:val="single"/>
        </w:rPr>
        <w:t>2023年度</w:t>
      </w:r>
      <w:r>
        <w:rPr>
          <w:rFonts w:hint="eastAsia" w:ascii="仿宋" w:hAnsi="仿宋" w:eastAsia="仿宋" w:cs="仿宋"/>
          <w:b/>
          <w:snapToGrid/>
          <w:szCs w:val="21"/>
          <w:highlight w:val="none"/>
        </w:rPr>
        <w:t>温室气体排放报告补充数据</w:t>
      </w:r>
      <w:bookmarkEnd w:id="343"/>
      <w:r>
        <w:rPr>
          <w:rFonts w:hint="eastAsia" w:ascii="仿宋" w:hAnsi="仿宋" w:eastAsia="仿宋" w:cs="仿宋"/>
          <w:b/>
          <w:snapToGrid/>
          <w:szCs w:val="21"/>
          <w:highlight w:val="none"/>
        </w:rPr>
        <w:t>表</w:t>
      </w:r>
      <w:bookmarkEnd w:id="344"/>
      <w:bookmarkEnd w:id="345"/>
      <w:bookmarkEnd w:id="346"/>
    </w:p>
    <w:p w14:paraId="30D0B00A">
      <w:pPr>
        <w:spacing w:beforeLines="50" w:line="480" w:lineRule="exact"/>
        <w:ind w:firstLine="0" w:firstLineChars="0"/>
        <w:rPr>
          <w:rFonts w:hint="eastAsia" w:ascii="仿宋" w:hAnsi="仿宋" w:eastAsia="仿宋" w:cs="仿宋"/>
          <w:bCs/>
          <w:snapToGrid/>
          <w:szCs w:val="28"/>
          <w:highlight w:val="yellow"/>
        </w:rPr>
        <w:sectPr>
          <w:headerReference r:id="rId18" w:type="default"/>
          <w:pgSz w:w="16838" w:h="11906" w:orient="landscape"/>
          <w:pgMar w:top="1797" w:right="1440" w:bottom="1797" w:left="1440" w:header="851" w:footer="992" w:gutter="0"/>
          <w:cols w:space="720" w:num="1"/>
          <w:docGrid w:type="lines" w:linePitch="312" w:charSpace="0"/>
        </w:sectPr>
      </w:pPr>
    </w:p>
    <w:p w14:paraId="26705A97">
      <w:pPr>
        <w:pStyle w:val="3"/>
        <w:spacing w:beforeLines="50" w:afterLines="50"/>
        <w:rPr>
          <w:rFonts w:hint="eastAsia" w:ascii="仿宋" w:hAnsi="仿宋" w:eastAsia="仿宋" w:cs="仿宋"/>
          <w:sz w:val="28"/>
          <w:szCs w:val="28"/>
        </w:rPr>
      </w:pPr>
      <w:bookmarkStart w:id="347" w:name="_Toc16181"/>
      <w:bookmarkStart w:id="348" w:name="_Toc27997"/>
      <w:bookmarkStart w:id="349" w:name="_Toc11422"/>
      <w:bookmarkStart w:id="350" w:name="_Toc2688"/>
      <w:bookmarkStart w:id="351" w:name="_Toc28716_WPSOffice_Level2"/>
      <w:bookmarkStart w:id="352" w:name="_Toc503300130"/>
      <w:bookmarkStart w:id="353" w:name="_Toc10794"/>
      <w:r>
        <w:rPr>
          <w:rFonts w:hint="eastAsia" w:ascii="仿宋" w:hAnsi="仿宋" w:eastAsia="仿宋" w:cs="仿宋"/>
          <w:sz w:val="28"/>
          <w:szCs w:val="28"/>
        </w:rPr>
        <w:t>3.5 质量保证和文件存档的核查</w:t>
      </w:r>
      <w:bookmarkEnd w:id="347"/>
      <w:bookmarkEnd w:id="348"/>
      <w:r>
        <w:rPr>
          <w:rFonts w:hint="eastAsia" w:ascii="仿宋" w:hAnsi="仿宋" w:eastAsia="仿宋" w:cs="仿宋"/>
          <w:sz w:val="28"/>
          <w:szCs w:val="28"/>
        </w:rPr>
        <w:tab/>
      </w:r>
    </w:p>
    <w:p w14:paraId="55057960">
      <w:pPr>
        <w:widowControl/>
        <w:rPr>
          <w:rFonts w:hint="eastAsia" w:ascii="仿宋" w:hAnsi="仿宋" w:eastAsia="仿宋" w:cs="仿宋"/>
          <w:szCs w:val="28"/>
        </w:rPr>
      </w:pPr>
      <w:r>
        <w:rPr>
          <w:rFonts w:hint="eastAsia" w:ascii="仿宋" w:hAnsi="仿宋" w:eastAsia="仿宋" w:cs="仿宋"/>
          <w:szCs w:val="28"/>
        </w:rPr>
        <w:t>通过文件审核以及现场访谈，核查组确认受核查方的温室气体排放核算和报告工作由</w:t>
      </w:r>
      <w:r>
        <w:rPr>
          <w:rFonts w:hint="eastAsia" w:ascii="仿宋" w:hAnsi="仿宋" w:eastAsia="仿宋" w:cs="仿宋"/>
          <w:szCs w:val="28"/>
          <w:lang w:val="en-US" w:eastAsia="zh-CN"/>
        </w:rPr>
        <w:t>安全科</w:t>
      </w:r>
      <w:bookmarkStart w:id="492" w:name="_GoBack"/>
      <w:bookmarkEnd w:id="492"/>
      <w:r>
        <w:rPr>
          <w:rFonts w:hint="eastAsia" w:ascii="仿宋" w:hAnsi="仿宋" w:eastAsia="仿宋" w:cs="仿宋"/>
          <w:szCs w:val="28"/>
        </w:rPr>
        <w:t>负责，并指定了专门人员进行温室气体排放核算和报告工作。核查组确认受核查方的能源管理工作基本良好，能源消耗台帐完整规范。</w:t>
      </w:r>
    </w:p>
    <w:p w14:paraId="7B93C14D">
      <w:pPr>
        <w:pStyle w:val="3"/>
        <w:spacing w:beforeLines="50" w:afterLines="50"/>
        <w:rPr>
          <w:rFonts w:hint="eastAsia" w:ascii="仿宋" w:hAnsi="仿宋" w:eastAsia="仿宋" w:cs="仿宋"/>
          <w:sz w:val="28"/>
          <w:szCs w:val="28"/>
        </w:rPr>
      </w:pPr>
      <w:bookmarkStart w:id="354" w:name="_Toc10979"/>
      <w:bookmarkStart w:id="355" w:name="_Toc32277"/>
      <w:r>
        <w:rPr>
          <w:rFonts w:hint="eastAsia" w:ascii="仿宋" w:hAnsi="仿宋" w:eastAsia="仿宋" w:cs="仿宋"/>
          <w:sz w:val="28"/>
          <w:szCs w:val="28"/>
        </w:rPr>
        <w:t>3.6 其他核查发现</w:t>
      </w:r>
      <w:bookmarkEnd w:id="354"/>
      <w:bookmarkEnd w:id="355"/>
    </w:p>
    <w:p w14:paraId="1AC43FD0">
      <w:pPr>
        <w:widowControl/>
        <w:rPr>
          <w:rFonts w:hint="eastAsia" w:ascii="仿宋" w:hAnsi="仿宋" w:eastAsia="仿宋" w:cs="仿宋"/>
          <w:szCs w:val="28"/>
        </w:rPr>
      </w:pPr>
      <w:r>
        <w:rPr>
          <w:rFonts w:hint="eastAsia" w:ascii="仿宋" w:hAnsi="仿宋" w:eastAsia="仿宋" w:cs="仿宋"/>
          <w:szCs w:val="28"/>
        </w:rPr>
        <w:t>无。</w:t>
      </w:r>
    </w:p>
    <w:bookmarkEnd w:id="337"/>
    <w:bookmarkEnd w:id="338"/>
    <w:bookmarkEnd w:id="339"/>
    <w:bookmarkEnd w:id="340"/>
    <w:bookmarkEnd w:id="341"/>
    <w:bookmarkEnd w:id="342"/>
    <w:bookmarkEnd w:id="349"/>
    <w:bookmarkEnd w:id="350"/>
    <w:bookmarkEnd w:id="351"/>
    <w:bookmarkEnd w:id="352"/>
    <w:bookmarkEnd w:id="353"/>
    <w:p w14:paraId="3C6C9583">
      <w:pPr>
        <w:spacing w:line="240" w:lineRule="auto"/>
        <w:ind w:firstLine="0" w:firstLineChars="0"/>
        <w:outlineLvl w:val="0"/>
        <w:rPr>
          <w:rStyle w:val="48"/>
          <w:rFonts w:hint="eastAsia" w:ascii="仿宋" w:hAnsi="仿宋" w:eastAsia="仿宋" w:cs="仿宋"/>
        </w:rPr>
      </w:pPr>
      <w:bookmarkStart w:id="356" w:name="_Toc1006"/>
      <w:bookmarkStart w:id="357" w:name="_Toc2306"/>
      <w:bookmarkStart w:id="358" w:name="_Toc7541"/>
      <w:bookmarkStart w:id="359" w:name="_Toc3457"/>
      <w:bookmarkStart w:id="360" w:name="_Toc29585"/>
      <w:bookmarkStart w:id="361" w:name="_Toc14163"/>
      <w:bookmarkStart w:id="362" w:name="_Toc30983"/>
      <w:bookmarkStart w:id="363" w:name="_Toc444197212"/>
      <w:bookmarkStart w:id="364" w:name="_Toc32159_WPSOffice_Level1"/>
      <w:bookmarkStart w:id="365" w:name="_Toc18771"/>
      <w:bookmarkStart w:id="366" w:name="_Toc444196321"/>
      <w:bookmarkStart w:id="367" w:name="_Toc503300132"/>
      <w:bookmarkStart w:id="368" w:name="_Toc5354"/>
      <w:r>
        <w:rPr>
          <w:rStyle w:val="48"/>
          <w:rFonts w:hint="eastAsia" w:ascii="仿宋" w:hAnsi="仿宋" w:eastAsia="仿宋" w:cs="仿宋"/>
        </w:rPr>
        <w:t>4 核查结论</w:t>
      </w:r>
      <w:bookmarkEnd w:id="356"/>
      <w:bookmarkEnd w:id="357"/>
      <w:bookmarkEnd w:id="358"/>
      <w:bookmarkEnd w:id="359"/>
      <w:bookmarkEnd w:id="360"/>
      <w:bookmarkEnd w:id="361"/>
      <w:bookmarkEnd w:id="362"/>
      <w:bookmarkEnd w:id="363"/>
      <w:bookmarkEnd w:id="364"/>
      <w:bookmarkEnd w:id="365"/>
      <w:bookmarkEnd w:id="366"/>
      <w:bookmarkEnd w:id="367"/>
      <w:bookmarkEnd w:id="368"/>
    </w:p>
    <w:p w14:paraId="72627B45">
      <w:pPr>
        <w:pStyle w:val="3"/>
        <w:spacing w:beforeLines="50" w:afterLines="50"/>
        <w:rPr>
          <w:rFonts w:hint="eastAsia" w:ascii="仿宋" w:hAnsi="仿宋" w:eastAsia="仿宋" w:cs="仿宋"/>
          <w:sz w:val="28"/>
          <w:szCs w:val="28"/>
        </w:rPr>
      </w:pPr>
      <w:bookmarkStart w:id="369" w:name="_Toc444196322"/>
      <w:bookmarkStart w:id="370" w:name="_Toc22800_WPSOffice_Level2"/>
      <w:bookmarkStart w:id="371" w:name="_Toc6926"/>
      <w:bookmarkStart w:id="372" w:name="_Toc9445"/>
      <w:bookmarkStart w:id="373" w:name="_Toc384206100"/>
      <w:bookmarkStart w:id="374" w:name="_Toc26746"/>
      <w:bookmarkStart w:id="375" w:name="_Toc16519"/>
      <w:bookmarkStart w:id="376" w:name="_Toc29193"/>
      <w:bookmarkStart w:id="377" w:name="_Toc503300133"/>
      <w:bookmarkStart w:id="378" w:name="_Toc28571"/>
      <w:bookmarkStart w:id="379" w:name="_Toc444197213"/>
      <w:bookmarkStart w:id="380" w:name="_Toc10244"/>
      <w:bookmarkStart w:id="381" w:name="_Toc13116"/>
      <w:bookmarkStart w:id="382" w:name="_Toc18292"/>
      <w:r>
        <w:rPr>
          <w:rFonts w:hint="eastAsia" w:ascii="仿宋" w:hAnsi="仿宋" w:eastAsia="仿宋" w:cs="仿宋"/>
          <w:sz w:val="28"/>
          <w:szCs w:val="28"/>
        </w:rPr>
        <w:t>4.1</w:t>
      </w:r>
      <w:bookmarkEnd w:id="369"/>
      <w:bookmarkEnd w:id="370"/>
      <w:bookmarkEnd w:id="371"/>
      <w:bookmarkEnd w:id="372"/>
      <w:bookmarkEnd w:id="373"/>
      <w:bookmarkEnd w:id="374"/>
      <w:bookmarkEnd w:id="375"/>
      <w:bookmarkEnd w:id="376"/>
      <w:bookmarkEnd w:id="377"/>
      <w:bookmarkEnd w:id="378"/>
      <w:bookmarkEnd w:id="379"/>
      <w:bookmarkEnd w:id="380"/>
      <w:r>
        <w:rPr>
          <w:rFonts w:hint="eastAsia" w:ascii="仿宋" w:hAnsi="仿宋" w:eastAsia="仿宋" w:cs="仿宋"/>
          <w:sz w:val="28"/>
          <w:szCs w:val="28"/>
        </w:rPr>
        <w:t xml:space="preserve"> 报告与核算指南的符合性</w:t>
      </w:r>
      <w:bookmarkEnd w:id="381"/>
      <w:bookmarkEnd w:id="382"/>
    </w:p>
    <w:p w14:paraId="3EDE4ED2">
      <w:pPr>
        <w:widowControl/>
        <w:rPr>
          <w:rFonts w:hint="eastAsia" w:ascii="仿宋" w:hAnsi="仿宋" w:eastAsia="仿宋" w:cs="仿宋"/>
          <w:snapToGrid/>
          <w:szCs w:val="24"/>
        </w:rPr>
      </w:pPr>
      <w:bookmarkStart w:id="383" w:name="_Toc384206101"/>
      <w:r>
        <w:rPr>
          <w:rFonts w:hint="eastAsia" w:ascii="仿宋" w:hAnsi="仿宋" w:eastAsia="仿宋" w:cs="仿宋"/>
          <w:snapToGrid/>
          <w:szCs w:val="24"/>
        </w:rPr>
        <w:t>经核查，因为受核查方未填报2023年度《重点排放单位温室气体排放报告》，因此核查机构把受核查方现场所提供的真实的相关数据和支持性文件中的数据用于计算2023年度二氧化碳排放。排放单位排放边界及排放源界定正确，经二氧化碳重点排放单位确认的核算数据及方法等正确无误，符合《</w:t>
      </w:r>
      <w:r>
        <w:rPr>
          <w:rFonts w:hint="eastAsia" w:ascii="仿宋" w:hAnsi="仿宋" w:eastAsia="仿宋" w:cs="仿宋"/>
          <w:szCs w:val="28"/>
        </w:rPr>
        <w:t>工业其他行业企业温室气体排放核算方法与报告指南（试行）</w:t>
      </w:r>
      <w:r>
        <w:rPr>
          <w:rFonts w:hint="eastAsia" w:ascii="仿宋" w:hAnsi="仿宋" w:eastAsia="仿宋" w:cs="仿宋"/>
          <w:snapToGrid/>
          <w:szCs w:val="24"/>
        </w:rPr>
        <w:t>》的相关要求。</w:t>
      </w:r>
    </w:p>
    <w:p w14:paraId="1977A4E9">
      <w:pPr>
        <w:pStyle w:val="3"/>
        <w:spacing w:beforeLines="50" w:afterLines="50"/>
        <w:rPr>
          <w:rFonts w:hint="eastAsia" w:ascii="仿宋" w:hAnsi="仿宋" w:eastAsia="仿宋" w:cs="仿宋"/>
          <w:sz w:val="28"/>
          <w:szCs w:val="28"/>
        </w:rPr>
      </w:pPr>
      <w:bookmarkStart w:id="384" w:name="_Toc19347"/>
      <w:bookmarkStart w:id="385" w:name="_Toc3856_WPSOffice_Level2"/>
      <w:bookmarkStart w:id="386" w:name="_Toc444196323"/>
      <w:bookmarkStart w:id="387" w:name="_Toc444197214"/>
      <w:bookmarkStart w:id="388" w:name="_Toc32578"/>
      <w:bookmarkStart w:id="389" w:name="_Toc27889"/>
      <w:bookmarkStart w:id="390" w:name="_Toc9760"/>
      <w:bookmarkStart w:id="391" w:name="_Toc22599"/>
      <w:bookmarkStart w:id="392" w:name="_Toc4138"/>
      <w:bookmarkStart w:id="393" w:name="_Toc503300134"/>
      <w:bookmarkStart w:id="394" w:name="_Toc7977"/>
      <w:bookmarkStart w:id="395" w:name="_Toc28293"/>
      <w:bookmarkStart w:id="396" w:name="_Toc8079"/>
      <w:r>
        <w:rPr>
          <w:rFonts w:hint="eastAsia" w:ascii="仿宋" w:hAnsi="仿宋" w:eastAsia="仿宋" w:cs="仿宋"/>
          <w:sz w:val="28"/>
          <w:szCs w:val="28"/>
        </w:rPr>
        <w:t>4.2</w:t>
      </w:r>
      <w:bookmarkEnd w:id="383"/>
      <w:r>
        <w:rPr>
          <w:rFonts w:hint="eastAsia" w:ascii="仿宋" w:hAnsi="仿宋" w:eastAsia="仿宋" w:cs="仿宋"/>
          <w:sz w:val="28"/>
          <w:szCs w:val="28"/>
        </w:rPr>
        <w:t xml:space="preserve"> 排放量声明</w:t>
      </w:r>
      <w:bookmarkEnd w:id="384"/>
      <w:bookmarkEnd w:id="385"/>
      <w:bookmarkEnd w:id="386"/>
      <w:bookmarkEnd w:id="387"/>
      <w:bookmarkEnd w:id="388"/>
      <w:bookmarkEnd w:id="389"/>
      <w:bookmarkEnd w:id="390"/>
      <w:bookmarkEnd w:id="391"/>
      <w:bookmarkEnd w:id="392"/>
      <w:bookmarkEnd w:id="393"/>
      <w:bookmarkEnd w:id="394"/>
      <w:bookmarkEnd w:id="395"/>
      <w:bookmarkEnd w:id="396"/>
    </w:p>
    <w:p w14:paraId="502995D5">
      <w:pPr>
        <w:pStyle w:val="4"/>
        <w:spacing w:beforeLines="50" w:afterLines="50"/>
        <w:rPr>
          <w:rFonts w:hint="eastAsia" w:ascii="仿宋" w:hAnsi="仿宋" w:eastAsia="仿宋" w:cs="仿宋"/>
          <w:szCs w:val="28"/>
        </w:rPr>
      </w:pPr>
      <w:bookmarkStart w:id="397" w:name="_Toc384206102"/>
      <w:bookmarkStart w:id="398" w:name="_Toc444196324"/>
      <w:bookmarkStart w:id="399" w:name="_Toc444197215"/>
      <w:bookmarkStart w:id="400" w:name="_Toc30290_WPSOffice_Level3"/>
      <w:bookmarkStart w:id="401" w:name="_Toc14919_WPSOffice_Level3"/>
      <w:bookmarkStart w:id="402" w:name="_Toc22585"/>
      <w:bookmarkStart w:id="403" w:name="_Toc11362"/>
      <w:bookmarkStart w:id="404" w:name="_Toc12241"/>
      <w:bookmarkStart w:id="405" w:name="_Toc2252"/>
      <w:bookmarkStart w:id="406" w:name="_Toc2590_WPSOffice_Level3"/>
      <w:bookmarkStart w:id="407" w:name="_Toc503272791"/>
      <w:bookmarkStart w:id="408" w:name="_Toc11474"/>
      <w:bookmarkStart w:id="409" w:name="_Toc503300135"/>
      <w:r>
        <w:rPr>
          <w:rFonts w:hint="eastAsia" w:ascii="仿宋" w:hAnsi="仿宋" w:eastAsia="仿宋" w:cs="仿宋"/>
          <w:szCs w:val="28"/>
        </w:rPr>
        <w:t>4.2.1</w:t>
      </w:r>
      <w:bookmarkEnd w:id="397"/>
      <w:bookmarkEnd w:id="398"/>
      <w:bookmarkEnd w:id="399"/>
      <w:r>
        <w:rPr>
          <w:rFonts w:hint="eastAsia" w:ascii="仿宋" w:hAnsi="仿宋" w:eastAsia="仿宋" w:cs="仿宋"/>
          <w:szCs w:val="28"/>
        </w:rPr>
        <w:t xml:space="preserve"> 企业法人边界的排放量声明</w:t>
      </w:r>
      <w:bookmarkEnd w:id="400"/>
      <w:bookmarkEnd w:id="401"/>
      <w:bookmarkEnd w:id="402"/>
      <w:bookmarkEnd w:id="403"/>
      <w:bookmarkEnd w:id="404"/>
      <w:bookmarkEnd w:id="405"/>
      <w:bookmarkEnd w:id="406"/>
      <w:bookmarkEnd w:id="407"/>
      <w:bookmarkEnd w:id="408"/>
      <w:bookmarkEnd w:id="409"/>
    </w:p>
    <w:p w14:paraId="40812B89">
      <w:pPr>
        <w:rPr>
          <w:rFonts w:hint="eastAsia" w:ascii="仿宋" w:hAnsi="仿宋" w:eastAsia="仿宋" w:cs="仿宋"/>
          <w:szCs w:val="28"/>
        </w:rPr>
      </w:pPr>
      <w:bookmarkStart w:id="410" w:name="_Toc444196325"/>
      <w:bookmarkStart w:id="411" w:name="_Toc444197216"/>
      <w:bookmarkStart w:id="412" w:name="_Toc384206103"/>
      <w:r>
        <w:rPr>
          <w:rFonts w:hint="eastAsia" w:ascii="仿宋" w:hAnsi="仿宋" w:eastAsia="仿宋" w:cs="仿宋"/>
          <w:szCs w:val="28"/>
        </w:rPr>
        <w:t>经核查的2023年度长</w:t>
      </w:r>
      <w:r>
        <w:rPr>
          <w:rFonts w:hint="default" w:ascii="Times New Roman" w:hAnsi="Times New Roman" w:eastAsia="仿宋" w:cs="Times New Roman"/>
          <w:sz w:val="28"/>
          <w:szCs w:val="28"/>
          <w:highlight w:val="none"/>
        </w:rPr>
        <w:t>郯城众一科环化工有限公司</w:t>
      </w:r>
      <w:r>
        <w:rPr>
          <w:rFonts w:hint="eastAsia" w:ascii="仿宋" w:hAnsi="仿宋" w:eastAsia="仿宋" w:cs="仿宋"/>
          <w:szCs w:val="28"/>
        </w:rPr>
        <w:t>企业法人边界的温室气体排放量如下：</w:t>
      </w:r>
    </w:p>
    <w:p w14:paraId="74295E40">
      <w:pPr>
        <w:rPr>
          <w:rFonts w:hint="eastAsia" w:ascii="仿宋" w:hAnsi="仿宋" w:eastAsia="仿宋" w:cs="仿宋"/>
          <w:szCs w:val="28"/>
        </w:rPr>
      </w:pPr>
    </w:p>
    <w:tbl>
      <w:tblPr>
        <w:tblStyle w:val="27"/>
        <w:tblW w:w="5000" w:type="pct"/>
        <w:jc w:val="center"/>
        <w:tblLayout w:type="autofit"/>
        <w:tblCellMar>
          <w:top w:w="0" w:type="dxa"/>
          <w:left w:w="108" w:type="dxa"/>
          <w:bottom w:w="0" w:type="dxa"/>
          <w:right w:w="108" w:type="dxa"/>
        </w:tblCellMar>
      </w:tblPr>
      <w:tblGrid>
        <w:gridCol w:w="6241"/>
        <w:gridCol w:w="2287"/>
      </w:tblGrid>
      <w:tr w14:paraId="75A37A34">
        <w:tblPrEx>
          <w:tblCellMar>
            <w:top w:w="0" w:type="dxa"/>
            <w:left w:w="108" w:type="dxa"/>
            <w:bottom w:w="0" w:type="dxa"/>
            <w:right w:w="108" w:type="dxa"/>
          </w:tblCellMar>
        </w:tblPrEx>
        <w:trPr>
          <w:trHeight w:val="397" w:hRule="atLeast"/>
          <w:jc w:val="center"/>
        </w:trPr>
        <w:tc>
          <w:tcPr>
            <w:tcW w:w="6241" w:type="dxa"/>
            <w:tcBorders>
              <w:top w:val="single" w:color="auto" w:sz="4" w:space="0"/>
              <w:left w:val="single" w:color="auto" w:sz="4" w:space="0"/>
              <w:bottom w:val="single" w:color="auto" w:sz="4" w:space="0"/>
              <w:right w:val="single" w:color="auto" w:sz="4" w:space="0"/>
            </w:tcBorders>
            <w:shd w:val="clear" w:color="000000" w:fill="FFFFFF"/>
            <w:vAlign w:val="center"/>
          </w:tcPr>
          <w:p w14:paraId="50EDFBAA">
            <w:pPr>
              <w:widowControl/>
              <w:spacing w:line="240" w:lineRule="auto"/>
              <w:ind w:firstLine="0" w:firstLineChars="0"/>
              <w:jc w:val="center"/>
              <w:rPr>
                <w:rFonts w:hint="eastAsia" w:ascii="仿宋" w:hAnsi="仿宋" w:eastAsia="仿宋" w:cs="仿宋"/>
                <w:b/>
                <w:bCs/>
                <w:kern w:val="0"/>
                <w:sz w:val="24"/>
                <w:szCs w:val="24"/>
              </w:rPr>
            </w:pPr>
            <w:bookmarkStart w:id="413" w:name="_Toc503300136"/>
            <w:bookmarkStart w:id="414" w:name="_Toc1432"/>
            <w:bookmarkStart w:id="415" w:name="_Toc503272792"/>
            <w:bookmarkStart w:id="416" w:name="_Toc8418"/>
            <w:bookmarkStart w:id="417" w:name="_Toc18241_WPSOffice_Level3"/>
            <w:bookmarkStart w:id="418" w:name="_Toc18058"/>
            <w:bookmarkStart w:id="419" w:name="_Toc6182_WPSOffice_Level3"/>
            <w:bookmarkStart w:id="420" w:name="_Toc9740"/>
            <w:bookmarkStart w:id="421" w:name="_Toc10153_WPSOffice_Level3"/>
            <w:r>
              <w:rPr>
                <w:rFonts w:hint="eastAsia" w:ascii="仿宋" w:hAnsi="仿宋" w:eastAsia="仿宋" w:cs="仿宋"/>
                <w:b/>
                <w:bCs/>
                <w:kern w:val="0"/>
                <w:sz w:val="24"/>
                <w:szCs w:val="24"/>
              </w:rPr>
              <w:t>排放源类别</w:t>
            </w:r>
          </w:p>
        </w:tc>
        <w:tc>
          <w:tcPr>
            <w:tcW w:w="2287" w:type="dxa"/>
            <w:tcBorders>
              <w:top w:val="single" w:color="auto" w:sz="4" w:space="0"/>
              <w:left w:val="nil"/>
              <w:bottom w:val="single" w:color="auto" w:sz="4" w:space="0"/>
              <w:right w:val="single" w:color="auto" w:sz="4" w:space="0"/>
            </w:tcBorders>
            <w:shd w:val="clear" w:color="000000" w:fill="FFFFFF"/>
            <w:vAlign w:val="center"/>
          </w:tcPr>
          <w:p w14:paraId="00420A4C">
            <w:pPr>
              <w:widowControl/>
              <w:spacing w:line="240" w:lineRule="auto"/>
              <w:ind w:firstLine="0" w:firstLineChars="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2023年</w:t>
            </w:r>
          </w:p>
        </w:tc>
      </w:tr>
      <w:tr w14:paraId="26162E36">
        <w:tblPrEx>
          <w:tblCellMar>
            <w:top w:w="0" w:type="dxa"/>
            <w:left w:w="108" w:type="dxa"/>
            <w:bottom w:w="0" w:type="dxa"/>
            <w:right w:w="108" w:type="dxa"/>
          </w:tblCellMar>
        </w:tblPrEx>
        <w:trPr>
          <w:trHeight w:val="397" w:hRule="atLeast"/>
          <w:jc w:val="center"/>
        </w:trPr>
        <w:tc>
          <w:tcPr>
            <w:tcW w:w="6241" w:type="dxa"/>
            <w:tcBorders>
              <w:top w:val="single" w:color="auto" w:sz="4" w:space="0"/>
              <w:left w:val="single" w:color="auto" w:sz="4" w:space="0"/>
              <w:bottom w:val="single" w:color="auto" w:sz="4" w:space="0"/>
              <w:right w:val="single" w:color="auto" w:sz="4" w:space="0"/>
            </w:tcBorders>
            <w:shd w:val="clear" w:color="000000" w:fill="auto"/>
            <w:vAlign w:val="center"/>
          </w:tcPr>
          <w:p w14:paraId="42174CAB">
            <w:pPr>
              <w:pStyle w:val="62"/>
              <w:adjustRightInd/>
              <w:rPr>
                <w:rFonts w:hint="eastAsia" w:ascii="仿宋" w:hAnsi="仿宋" w:eastAsia="仿宋" w:cs="仿宋"/>
                <w:b/>
                <w:bCs/>
                <w:snapToGrid w:val="0"/>
                <w:color w:val="auto"/>
              </w:rPr>
            </w:pPr>
            <w:r>
              <w:rPr>
                <w:rFonts w:hint="eastAsia" w:ascii="仿宋" w:hAnsi="仿宋" w:eastAsia="仿宋" w:cs="仿宋"/>
                <w:b/>
                <w:bCs/>
                <w:snapToGrid w:val="0"/>
                <w:color w:val="auto"/>
              </w:rPr>
              <w:t>化石燃料燃烧排放量(tCO2e）</w:t>
            </w:r>
          </w:p>
        </w:tc>
        <w:tc>
          <w:tcPr>
            <w:tcW w:w="2287" w:type="dxa"/>
            <w:tcBorders>
              <w:top w:val="single" w:color="auto" w:sz="4" w:space="0"/>
              <w:left w:val="nil"/>
              <w:bottom w:val="single" w:color="auto" w:sz="4" w:space="0"/>
              <w:right w:val="single" w:color="auto" w:sz="4" w:space="0"/>
            </w:tcBorders>
            <w:shd w:val="clear" w:color="000000" w:fill="auto"/>
            <w:vAlign w:val="center"/>
          </w:tcPr>
          <w:p w14:paraId="67696CCD">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lang w:val="en-US" w:eastAsia="zh-CN"/>
              </w:rPr>
              <w:t>/</w:t>
            </w:r>
          </w:p>
        </w:tc>
      </w:tr>
      <w:tr w14:paraId="1F200137">
        <w:tblPrEx>
          <w:tblCellMar>
            <w:top w:w="0" w:type="dxa"/>
            <w:left w:w="108" w:type="dxa"/>
            <w:bottom w:w="0" w:type="dxa"/>
            <w:right w:w="108" w:type="dxa"/>
          </w:tblCellMar>
        </w:tblPrEx>
        <w:trPr>
          <w:trHeight w:val="397" w:hRule="atLeast"/>
          <w:jc w:val="center"/>
        </w:trPr>
        <w:tc>
          <w:tcPr>
            <w:tcW w:w="6241" w:type="dxa"/>
            <w:tcBorders>
              <w:top w:val="single" w:color="auto" w:sz="4" w:space="0"/>
              <w:left w:val="single" w:color="auto" w:sz="4" w:space="0"/>
              <w:bottom w:val="single" w:color="auto" w:sz="4" w:space="0"/>
              <w:right w:val="single" w:color="auto" w:sz="4" w:space="0"/>
            </w:tcBorders>
            <w:shd w:val="clear" w:color="000000" w:fill="auto"/>
            <w:vAlign w:val="center"/>
          </w:tcPr>
          <w:p w14:paraId="52290552">
            <w:pPr>
              <w:pStyle w:val="62"/>
              <w:adjustRightInd/>
              <w:rPr>
                <w:rFonts w:hint="eastAsia" w:ascii="仿宋" w:hAnsi="仿宋" w:eastAsia="仿宋" w:cs="仿宋"/>
              </w:rPr>
            </w:pPr>
            <w:r>
              <w:rPr>
                <w:rFonts w:hint="eastAsia" w:ascii="仿宋" w:hAnsi="仿宋" w:eastAsia="仿宋" w:cs="仿宋"/>
                <w:b/>
                <w:bCs/>
                <w:snapToGrid w:val="0"/>
                <w:color w:val="auto"/>
              </w:rPr>
              <w:t>净购入使用的电力产生的排放量（tCO</w:t>
            </w:r>
            <w:r>
              <w:rPr>
                <w:rFonts w:hint="eastAsia" w:ascii="仿宋" w:hAnsi="仿宋" w:eastAsia="仿宋" w:cs="仿宋"/>
                <w:b/>
                <w:bCs/>
                <w:snapToGrid w:val="0"/>
                <w:color w:val="auto"/>
                <w:vertAlign w:val="subscript"/>
              </w:rPr>
              <w:t>2</w:t>
            </w:r>
            <w:r>
              <w:rPr>
                <w:rFonts w:hint="eastAsia" w:ascii="仿宋" w:hAnsi="仿宋" w:eastAsia="仿宋" w:cs="仿宋"/>
                <w:b/>
                <w:bCs/>
                <w:snapToGrid w:val="0"/>
                <w:color w:val="auto"/>
              </w:rPr>
              <w:t>e）</w:t>
            </w:r>
          </w:p>
        </w:tc>
        <w:tc>
          <w:tcPr>
            <w:tcW w:w="2287" w:type="dxa"/>
            <w:tcBorders>
              <w:top w:val="single" w:color="auto" w:sz="4" w:space="0"/>
              <w:left w:val="nil"/>
              <w:bottom w:val="single" w:color="auto" w:sz="4" w:space="0"/>
              <w:right w:val="single" w:color="auto" w:sz="4" w:space="0"/>
            </w:tcBorders>
            <w:shd w:val="clear" w:color="auto" w:fill="auto"/>
            <w:vAlign w:val="center"/>
          </w:tcPr>
          <w:p w14:paraId="433BAAC1">
            <w:pPr>
              <w:spacing w:line="240" w:lineRule="auto"/>
              <w:ind w:firstLine="0" w:firstLineChars="0"/>
              <w:jc w:val="center"/>
              <w:rPr>
                <w:rFonts w:hint="default" w:ascii="仿宋" w:hAnsi="仿宋" w:eastAsia="仿宋" w:cs="仿宋"/>
                <w:sz w:val="24"/>
                <w:szCs w:val="24"/>
                <w:lang w:val="en-US"/>
              </w:rPr>
            </w:pPr>
            <w:r>
              <w:rPr>
                <w:rFonts w:hint="eastAsia" w:ascii="仿宋" w:hAnsi="仿宋" w:eastAsia="仿宋" w:cs="仿宋"/>
                <w:sz w:val="24"/>
                <w:szCs w:val="24"/>
                <w:lang w:val="en-US" w:eastAsia="zh-CN"/>
              </w:rPr>
              <w:t>1293.40</w:t>
            </w:r>
          </w:p>
        </w:tc>
      </w:tr>
      <w:tr w14:paraId="698F588D">
        <w:tblPrEx>
          <w:tblCellMar>
            <w:top w:w="0" w:type="dxa"/>
            <w:left w:w="108" w:type="dxa"/>
            <w:bottom w:w="0" w:type="dxa"/>
            <w:right w:w="108" w:type="dxa"/>
          </w:tblCellMar>
        </w:tblPrEx>
        <w:trPr>
          <w:trHeight w:val="397" w:hRule="atLeast"/>
          <w:jc w:val="center"/>
        </w:trPr>
        <w:tc>
          <w:tcPr>
            <w:tcW w:w="6241" w:type="dxa"/>
            <w:tcBorders>
              <w:top w:val="single" w:color="auto" w:sz="4" w:space="0"/>
              <w:left w:val="single" w:color="auto" w:sz="4" w:space="0"/>
              <w:bottom w:val="single" w:color="auto" w:sz="4" w:space="0"/>
              <w:right w:val="single" w:color="auto" w:sz="4" w:space="0"/>
            </w:tcBorders>
            <w:shd w:val="clear" w:color="000000" w:fill="auto"/>
            <w:vAlign w:val="center"/>
          </w:tcPr>
          <w:p w14:paraId="0F7C60F4">
            <w:pPr>
              <w:widowControl/>
              <w:spacing w:line="240" w:lineRule="auto"/>
              <w:ind w:firstLine="0" w:firstLineChars="0"/>
              <w:jc w:val="left"/>
              <w:rPr>
                <w:rFonts w:hint="eastAsia" w:ascii="仿宋" w:hAnsi="仿宋" w:eastAsia="仿宋" w:cs="仿宋"/>
                <w:kern w:val="0"/>
                <w:sz w:val="24"/>
                <w:szCs w:val="24"/>
              </w:rPr>
            </w:pPr>
            <w:r>
              <w:rPr>
                <w:rFonts w:hint="eastAsia" w:ascii="仿宋" w:hAnsi="仿宋" w:eastAsia="仿宋" w:cs="仿宋"/>
                <w:b/>
                <w:bCs/>
                <w:snapToGrid w:val="0"/>
                <w:color w:val="auto"/>
                <w:sz w:val="24"/>
                <w:szCs w:val="24"/>
                <w:highlight w:val="none"/>
              </w:rPr>
              <w:t>净购入使用的电力产生的排放量（tCO</w:t>
            </w:r>
            <w:r>
              <w:rPr>
                <w:rFonts w:hint="eastAsia" w:ascii="仿宋" w:hAnsi="仿宋" w:eastAsia="仿宋" w:cs="仿宋"/>
                <w:b/>
                <w:bCs/>
                <w:snapToGrid w:val="0"/>
                <w:color w:val="auto"/>
                <w:sz w:val="24"/>
                <w:szCs w:val="24"/>
                <w:highlight w:val="none"/>
                <w:vertAlign w:val="subscript"/>
              </w:rPr>
              <w:t>2</w:t>
            </w:r>
            <w:r>
              <w:rPr>
                <w:rFonts w:hint="eastAsia" w:ascii="仿宋" w:hAnsi="仿宋" w:eastAsia="仿宋" w:cs="仿宋"/>
                <w:b/>
                <w:bCs/>
                <w:snapToGrid w:val="0"/>
                <w:color w:val="auto"/>
                <w:sz w:val="24"/>
                <w:szCs w:val="24"/>
                <w:highlight w:val="none"/>
              </w:rPr>
              <w:t>e）</w:t>
            </w:r>
          </w:p>
        </w:tc>
        <w:tc>
          <w:tcPr>
            <w:tcW w:w="2287" w:type="dxa"/>
            <w:tcBorders>
              <w:top w:val="single" w:color="auto" w:sz="4" w:space="0"/>
              <w:left w:val="nil"/>
              <w:bottom w:val="single" w:color="auto" w:sz="4" w:space="0"/>
              <w:right w:val="single" w:color="auto" w:sz="4" w:space="0"/>
            </w:tcBorders>
            <w:shd w:val="clear" w:color="auto" w:fill="auto"/>
            <w:vAlign w:val="center"/>
          </w:tcPr>
          <w:p w14:paraId="5DE2CA0A">
            <w:pPr>
              <w:spacing w:line="240" w:lineRule="auto"/>
              <w:ind w:firstLine="0" w:firstLineChars="0"/>
              <w:jc w:val="center"/>
              <w:rPr>
                <w:rFonts w:hint="default" w:ascii="仿宋" w:hAnsi="仿宋" w:eastAsia="仿宋" w:cs="仿宋"/>
                <w:sz w:val="24"/>
                <w:szCs w:val="24"/>
                <w:lang w:val="en-US"/>
              </w:rPr>
            </w:pPr>
            <w:r>
              <w:rPr>
                <w:rFonts w:hint="eastAsia" w:ascii="仿宋" w:hAnsi="仿宋" w:eastAsia="仿宋" w:cs="仿宋"/>
                <w:sz w:val="24"/>
                <w:szCs w:val="24"/>
                <w:lang w:val="en-US" w:eastAsia="zh-CN"/>
              </w:rPr>
              <w:t>737.27</w:t>
            </w:r>
          </w:p>
        </w:tc>
      </w:tr>
      <w:tr w14:paraId="5A6CF4AE">
        <w:tblPrEx>
          <w:tblCellMar>
            <w:top w:w="0" w:type="dxa"/>
            <w:left w:w="108" w:type="dxa"/>
            <w:bottom w:w="0" w:type="dxa"/>
            <w:right w:w="108" w:type="dxa"/>
          </w:tblCellMar>
        </w:tblPrEx>
        <w:trPr>
          <w:trHeight w:val="397" w:hRule="atLeast"/>
          <w:jc w:val="center"/>
        </w:trPr>
        <w:tc>
          <w:tcPr>
            <w:tcW w:w="6241" w:type="dxa"/>
            <w:tcBorders>
              <w:top w:val="single" w:color="auto" w:sz="4" w:space="0"/>
              <w:left w:val="single" w:color="auto" w:sz="4" w:space="0"/>
              <w:bottom w:val="single" w:color="auto" w:sz="4" w:space="0"/>
              <w:right w:val="single" w:color="auto" w:sz="4" w:space="0"/>
            </w:tcBorders>
            <w:shd w:val="clear" w:color="000000" w:fill="auto"/>
            <w:vAlign w:val="center"/>
          </w:tcPr>
          <w:p w14:paraId="02CF9A2C">
            <w:pPr>
              <w:widowControl/>
              <w:spacing w:line="240" w:lineRule="auto"/>
              <w:ind w:firstLine="0" w:firstLineChars="0"/>
              <w:jc w:val="left"/>
              <w:rPr>
                <w:rFonts w:hint="eastAsia" w:ascii="仿宋" w:hAnsi="仿宋" w:eastAsia="仿宋" w:cs="仿宋"/>
                <w:b/>
                <w:bCs/>
                <w:snapToGrid w:val="0"/>
                <w:kern w:val="0"/>
                <w:sz w:val="24"/>
                <w:szCs w:val="24"/>
                <w:lang w:val="en-US" w:eastAsia="zh-CN" w:bidi="ar-SA"/>
              </w:rPr>
            </w:pPr>
            <w:r>
              <w:rPr>
                <w:rFonts w:hint="eastAsia" w:ascii="仿宋" w:hAnsi="仿宋" w:eastAsia="仿宋" w:cs="仿宋"/>
                <w:b/>
                <w:bCs/>
                <w:kern w:val="0"/>
                <w:sz w:val="24"/>
                <w:szCs w:val="24"/>
              </w:rPr>
              <w:t>企业二氧化碳排放总量(</w:t>
            </w:r>
            <w:r>
              <w:rPr>
                <w:rFonts w:hint="eastAsia" w:ascii="仿宋" w:hAnsi="仿宋" w:eastAsia="仿宋" w:cs="仿宋"/>
                <w:b/>
                <w:bCs/>
                <w:sz w:val="24"/>
                <w:szCs w:val="24"/>
              </w:rPr>
              <w:t>tCO</w:t>
            </w:r>
            <w:r>
              <w:rPr>
                <w:rFonts w:hint="eastAsia" w:ascii="仿宋" w:hAnsi="仿宋" w:eastAsia="仿宋" w:cs="仿宋"/>
                <w:b/>
                <w:bCs/>
                <w:sz w:val="24"/>
                <w:szCs w:val="24"/>
                <w:vertAlign w:val="subscript"/>
              </w:rPr>
              <w:t>2</w:t>
            </w:r>
            <w:r>
              <w:rPr>
                <w:rFonts w:hint="eastAsia" w:ascii="仿宋" w:hAnsi="仿宋" w:eastAsia="仿宋" w:cs="仿宋"/>
                <w:b/>
                <w:bCs/>
                <w:sz w:val="24"/>
                <w:szCs w:val="24"/>
              </w:rPr>
              <w:t>e</w:t>
            </w:r>
            <w:r>
              <w:rPr>
                <w:rFonts w:hint="eastAsia" w:ascii="仿宋" w:hAnsi="仿宋" w:eastAsia="仿宋" w:cs="仿宋"/>
                <w:b/>
                <w:bCs/>
                <w:kern w:val="0"/>
                <w:sz w:val="24"/>
                <w:szCs w:val="24"/>
              </w:rPr>
              <w:t>)</w:t>
            </w:r>
          </w:p>
        </w:tc>
        <w:tc>
          <w:tcPr>
            <w:tcW w:w="2287" w:type="dxa"/>
            <w:tcBorders>
              <w:top w:val="single" w:color="auto" w:sz="4" w:space="0"/>
              <w:left w:val="nil"/>
              <w:bottom w:val="single" w:color="auto" w:sz="4" w:space="0"/>
              <w:right w:val="single" w:color="auto" w:sz="4" w:space="0"/>
            </w:tcBorders>
            <w:shd w:val="clear" w:color="auto" w:fill="auto"/>
            <w:vAlign w:val="center"/>
          </w:tcPr>
          <w:p w14:paraId="564EBC56">
            <w:pPr>
              <w:spacing w:line="240" w:lineRule="auto"/>
              <w:ind w:firstLine="0" w:firstLineChars="0"/>
              <w:jc w:val="center"/>
              <w:rPr>
                <w:rFonts w:hint="default" w:ascii="仿宋" w:hAnsi="仿宋" w:eastAsia="仿宋" w:cs="仿宋"/>
                <w:snapToGrid w:val="0"/>
                <w:kern w:val="2"/>
                <w:sz w:val="24"/>
                <w:szCs w:val="24"/>
                <w:lang w:val="en-US" w:eastAsia="zh-CN" w:bidi="ar-SA"/>
              </w:rPr>
            </w:pPr>
            <w:r>
              <w:rPr>
                <w:rFonts w:hint="eastAsia" w:ascii="仿宋" w:hAnsi="仿宋" w:eastAsia="仿宋" w:cs="仿宋"/>
                <w:sz w:val="24"/>
                <w:szCs w:val="24"/>
                <w:lang w:val="en-US" w:eastAsia="zh-CN"/>
              </w:rPr>
              <w:t>2030.67</w:t>
            </w:r>
          </w:p>
        </w:tc>
      </w:tr>
    </w:tbl>
    <w:p w14:paraId="5F30662C">
      <w:pPr>
        <w:pStyle w:val="4"/>
        <w:spacing w:beforeLines="50" w:afterLines="50"/>
        <w:rPr>
          <w:rFonts w:hint="eastAsia" w:ascii="仿宋" w:hAnsi="仿宋" w:eastAsia="仿宋" w:cs="仿宋"/>
          <w:szCs w:val="28"/>
        </w:rPr>
      </w:pPr>
      <w:bookmarkStart w:id="422" w:name="_Toc16677"/>
      <w:r>
        <w:rPr>
          <w:rFonts w:hint="eastAsia" w:ascii="仿宋" w:hAnsi="仿宋" w:eastAsia="仿宋" w:cs="仿宋"/>
          <w:szCs w:val="28"/>
        </w:rPr>
        <w:t>4.2.2 补充数据表填报的二氧化碳排放量声明</w:t>
      </w:r>
      <w:bookmarkEnd w:id="410"/>
      <w:bookmarkEnd w:id="411"/>
      <w:bookmarkEnd w:id="413"/>
      <w:bookmarkEnd w:id="414"/>
      <w:bookmarkEnd w:id="415"/>
      <w:bookmarkEnd w:id="416"/>
      <w:bookmarkEnd w:id="417"/>
      <w:bookmarkEnd w:id="418"/>
      <w:bookmarkEnd w:id="419"/>
      <w:bookmarkEnd w:id="420"/>
      <w:bookmarkEnd w:id="421"/>
      <w:bookmarkEnd w:id="422"/>
    </w:p>
    <w:p w14:paraId="38B9FD5E">
      <w:pPr>
        <w:spacing w:afterLines="50" w:line="240" w:lineRule="auto"/>
        <w:rPr>
          <w:rFonts w:hint="eastAsia" w:ascii="仿宋" w:hAnsi="仿宋" w:eastAsia="仿宋" w:cs="仿宋"/>
          <w:szCs w:val="28"/>
        </w:rPr>
      </w:pPr>
      <w:r>
        <w:rPr>
          <w:rFonts w:hint="eastAsia" w:ascii="仿宋" w:hAnsi="仿宋" w:eastAsia="仿宋" w:cs="仿宋"/>
          <w:szCs w:val="28"/>
        </w:rPr>
        <w:t>经核查的2023年度</w:t>
      </w:r>
      <w:r>
        <w:rPr>
          <w:rFonts w:hint="default" w:ascii="Times New Roman" w:hAnsi="Times New Roman" w:eastAsia="仿宋" w:cs="Times New Roman"/>
          <w:sz w:val="28"/>
          <w:szCs w:val="28"/>
          <w:highlight w:val="none"/>
        </w:rPr>
        <w:t>郯城众一科环化工有限公司</w:t>
      </w:r>
      <w:r>
        <w:rPr>
          <w:rFonts w:hint="eastAsia" w:ascii="仿宋" w:hAnsi="仿宋" w:eastAsia="仿宋" w:cs="仿宋"/>
          <w:szCs w:val="28"/>
        </w:rPr>
        <w:t>补充报告数据如下：</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9"/>
        <w:gridCol w:w="2175"/>
        <w:gridCol w:w="1868"/>
        <w:gridCol w:w="1258"/>
        <w:gridCol w:w="1818"/>
      </w:tblGrid>
      <w:tr w14:paraId="666A0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pct"/>
            <w:shd w:val="clear" w:color="000000" w:fill="FFFFFF"/>
            <w:vAlign w:val="center"/>
          </w:tcPr>
          <w:p w14:paraId="19462E1E">
            <w:pPr>
              <w:widowControl/>
              <w:spacing w:line="240" w:lineRule="auto"/>
              <w:ind w:firstLine="0" w:firstLineChars="0"/>
              <w:jc w:val="center"/>
              <w:rPr>
                <w:rFonts w:hint="eastAsia" w:ascii="仿宋" w:hAnsi="仿宋" w:eastAsia="仿宋" w:cs="仿宋"/>
                <w:b/>
                <w:sz w:val="24"/>
                <w:szCs w:val="24"/>
              </w:rPr>
            </w:pPr>
            <w:bookmarkStart w:id="423" w:name="_Toc444197217"/>
            <w:bookmarkStart w:id="424" w:name="_Toc444196326"/>
            <w:bookmarkStart w:id="425" w:name="_Toc503300137"/>
            <w:bookmarkStart w:id="426" w:name="_Toc27625"/>
            <w:bookmarkStart w:id="427" w:name="_Toc10293_WPSOffice_Level2"/>
            <w:bookmarkStart w:id="428" w:name="_Toc30105"/>
            <w:bookmarkStart w:id="429" w:name="_Toc26827"/>
            <w:bookmarkStart w:id="430" w:name="_Toc26758"/>
            <w:r>
              <w:rPr>
                <w:rFonts w:hint="eastAsia" w:ascii="仿宋" w:hAnsi="仿宋" w:eastAsia="仿宋" w:cs="仿宋"/>
                <w:b/>
                <w:sz w:val="24"/>
                <w:szCs w:val="24"/>
              </w:rPr>
              <w:t>年度</w:t>
            </w:r>
          </w:p>
        </w:tc>
        <w:tc>
          <w:tcPr>
            <w:tcW w:w="1275" w:type="pct"/>
            <w:shd w:val="clear" w:color="000000" w:fill="FFFFFF"/>
            <w:vAlign w:val="center"/>
          </w:tcPr>
          <w:p w14:paraId="4B0B5346">
            <w:pPr>
              <w:widowControl/>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产品产值（万元）</w:t>
            </w:r>
          </w:p>
        </w:tc>
        <w:tc>
          <w:tcPr>
            <w:tcW w:w="1832" w:type="pct"/>
            <w:gridSpan w:val="2"/>
            <w:shd w:val="clear" w:color="000000" w:fill="FFFFFF"/>
            <w:vAlign w:val="center"/>
          </w:tcPr>
          <w:p w14:paraId="53BC47CC">
            <w:pPr>
              <w:widowControl/>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产品产量（</w:t>
            </w:r>
            <w:r>
              <w:rPr>
                <w:rFonts w:hint="eastAsia" w:ascii="仿宋" w:hAnsi="仿宋" w:eastAsia="仿宋" w:cs="仿宋"/>
                <w:b/>
                <w:sz w:val="24"/>
                <w:szCs w:val="24"/>
                <w:lang w:val="en-US" w:eastAsia="zh-CN"/>
              </w:rPr>
              <w:t>吨</w:t>
            </w:r>
            <w:r>
              <w:rPr>
                <w:rFonts w:hint="eastAsia" w:ascii="仿宋" w:hAnsi="仿宋" w:eastAsia="仿宋" w:cs="仿宋"/>
                <w:b/>
                <w:sz w:val="24"/>
                <w:szCs w:val="24"/>
              </w:rPr>
              <w:t>）</w:t>
            </w:r>
          </w:p>
        </w:tc>
        <w:tc>
          <w:tcPr>
            <w:tcW w:w="1065" w:type="pct"/>
            <w:shd w:val="clear" w:color="000000" w:fill="FFFFFF"/>
            <w:vAlign w:val="center"/>
          </w:tcPr>
          <w:p w14:paraId="015EBCEF">
            <w:pPr>
              <w:widowControl/>
              <w:spacing w:line="240" w:lineRule="auto"/>
              <w:ind w:firstLine="0" w:firstLineChars="0"/>
              <w:jc w:val="center"/>
              <w:rPr>
                <w:rFonts w:hint="eastAsia" w:ascii="仿宋" w:hAnsi="仿宋" w:eastAsia="仿宋" w:cs="仿宋"/>
                <w:b/>
                <w:sz w:val="24"/>
                <w:szCs w:val="24"/>
              </w:rPr>
            </w:pPr>
            <w:r>
              <w:rPr>
                <w:rFonts w:hint="eastAsia" w:ascii="仿宋" w:hAnsi="仿宋" w:eastAsia="仿宋" w:cs="仿宋"/>
                <w:b/>
                <w:sz w:val="24"/>
                <w:szCs w:val="24"/>
              </w:rPr>
              <w:t>排放量（tCO</w:t>
            </w:r>
            <w:r>
              <w:rPr>
                <w:rFonts w:hint="eastAsia" w:ascii="仿宋" w:hAnsi="仿宋" w:eastAsia="仿宋" w:cs="仿宋"/>
                <w:b/>
                <w:sz w:val="24"/>
                <w:szCs w:val="24"/>
                <w:vertAlign w:val="subscript"/>
              </w:rPr>
              <w:t>2</w:t>
            </w:r>
            <w:r>
              <w:rPr>
                <w:rFonts w:hint="eastAsia" w:ascii="仿宋" w:hAnsi="仿宋" w:eastAsia="仿宋" w:cs="仿宋"/>
                <w:b/>
                <w:sz w:val="24"/>
                <w:szCs w:val="24"/>
              </w:rPr>
              <w:t>）</w:t>
            </w:r>
          </w:p>
        </w:tc>
      </w:tr>
      <w:tr w14:paraId="1BE40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pct"/>
            <w:vMerge w:val="restart"/>
            <w:shd w:val="clear" w:color="000000" w:fill="auto"/>
            <w:vAlign w:val="center"/>
          </w:tcPr>
          <w:p w14:paraId="3019D503">
            <w:pPr>
              <w:widowControl/>
              <w:spacing w:line="240" w:lineRule="auto"/>
              <w:ind w:firstLine="0" w:firstLineChars="0"/>
              <w:jc w:val="center"/>
              <w:rPr>
                <w:rFonts w:hint="eastAsia" w:ascii="仿宋" w:hAnsi="仿宋" w:eastAsia="仿宋" w:cs="仿宋"/>
                <w:bCs/>
                <w:sz w:val="24"/>
                <w:szCs w:val="24"/>
              </w:rPr>
            </w:pPr>
            <w:r>
              <w:rPr>
                <w:rFonts w:hint="eastAsia" w:ascii="仿宋" w:hAnsi="仿宋" w:eastAsia="仿宋" w:cs="仿宋"/>
                <w:bCs/>
                <w:sz w:val="24"/>
                <w:szCs w:val="24"/>
              </w:rPr>
              <w:t>2023年</w:t>
            </w:r>
          </w:p>
        </w:tc>
        <w:tc>
          <w:tcPr>
            <w:tcW w:w="1275" w:type="pct"/>
            <w:vMerge w:val="restart"/>
            <w:shd w:val="clear" w:color="auto" w:fill="auto"/>
            <w:vAlign w:val="center"/>
          </w:tcPr>
          <w:p w14:paraId="57486749">
            <w:pPr>
              <w:keepNext w:val="0"/>
              <w:keepLines w:val="0"/>
              <w:widowControl/>
              <w:suppressLineNumbers w:val="0"/>
              <w:ind w:firstLine="720" w:firstLineChars="300"/>
              <w:jc w:val="both"/>
              <w:textAlignment w:val="center"/>
              <w:rPr>
                <w:rFonts w:hint="default" w:ascii="宋体" w:hAnsi="宋体" w:eastAsia="宋体" w:cs="宋体"/>
                <w:i w:val="0"/>
                <w:iCs w:val="0"/>
                <w:snapToGrid w:val="0"/>
                <w:color w:val="000000"/>
                <w:kern w:val="2"/>
                <w:sz w:val="22"/>
                <w:szCs w:val="22"/>
                <w:u w:val="none"/>
                <w:lang w:val="en-US" w:eastAsia="zh-CN" w:bidi="ar-SA"/>
              </w:rPr>
            </w:pPr>
            <w:r>
              <w:rPr>
                <w:rFonts w:hint="eastAsia" w:ascii="仿宋" w:hAnsi="仿宋" w:eastAsia="仿宋" w:cs="仿宋"/>
                <w:snapToGrid/>
                <w:kern w:val="0"/>
                <w:sz w:val="24"/>
                <w:szCs w:val="24"/>
                <w:lang w:val="en-US" w:eastAsia="zh-CN" w:bidi="ar-SA"/>
              </w:rPr>
              <w:t>24470.70</w:t>
            </w:r>
          </w:p>
        </w:tc>
        <w:tc>
          <w:tcPr>
            <w:tcW w:w="1868" w:type="dxa"/>
            <w:shd w:val="clear" w:color="000000" w:fill="auto"/>
            <w:vAlign w:val="center"/>
          </w:tcPr>
          <w:p w14:paraId="612862D9">
            <w:pPr>
              <w:pStyle w:val="85"/>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亚磷酸</w:t>
            </w:r>
          </w:p>
        </w:tc>
        <w:tc>
          <w:tcPr>
            <w:tcW w:w="1258" w:type="dxa"/>
            <w:shd w:val="clear" w:color="000000" w:fill="auto"/>
            <w:vAlign w:val="center"/>
          </w:tcPr>
          <w:p w14:paraId="2A16AF11">
            <w:pPr>
              <w:pStyle w:val="85"/>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9690</w:t>
            </w:r>
          </w:p>
        </w:tc>
        <w:tc>
          <w:tcPr>
            <w:tcW w:w="1065" w:type="pct"/>
            <w:vMerge w:val="restart"/>
            <w:shd w:val="clear" w:color="000000" w:fill="auto"/>
            <w:vAlign w:val="center"/>
          </w:tcPr>
          <w:p w14:paraId="06E5B1AC">
            <w:pPr>
              <w:widowControl/>
              <w:spacing w:line="240" w:lineRule="auto"/>
              <w:ind w:firstLine="0" w:firstLineChars="0"/>
              <w:jc w:val="center"/>
              <w:rPr>
                <w:rFonts w:hint="default" w:ascii="仿宋" w:hAnsi="仿宋" w:eastAsia="仿宋" w:cs="仿宋"/>
                <w:bCs/>
                <w:kern w:val="0"/>
                <w:sz w:val="24"/>
                <w:szCs w:val="24"/>
                <w:highlight w:val="yellow"/>
                <w:lang w:val="en-US" w:eastAsia="zh-CN"/>
              </w:rPr>
            </w:pPr>
            <w:r>
              <w:rPr>
                <w:rFonts w:hint="eastAsia" w:ascii="仿宋" w:hAnsi="仿宋" w:eastAsia="仿宋" w:cs="仿宋"/>
                <w:bCs/>
                <w:sz w:val="24"/>
                <w:szCs w:val="24"/>
                <w:shd w:val="clear"/>
                <w:lang w:val="en-US" w:eastAsia="zh-CN"/>
              </w:rPr>
              <w:t>2030.67</w:t>
            </w:r>
          </w:p>
        </w:tc>
      </w:tr>
      <w:tr w14:paraId="49F46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pct"/>
            <w:vMerge w:val="continue"/>
            <w:shd w:val="clear" w:color="000000" w:fill="auto"/>
            <w:vAlign w:val="center"/>
          </w:tcPr>
          <w:p w14:paraId="38892D19">
            <w:pPr>
              <w:widowControl/>
              <w:spacing w:line="240" w:lineRule="auto"/>
              <w:ind w:firstLine="0" w:firstLineChars="0"/>
              <w:jc w:val="center"/>
              <w:rPr>
                <w:rFonts w:hint="eastAsia" w:ascii="仿宋" w:hAnsi="仿宋" w:eastAsia="仿宋" w:cs="仿宋"/>
                <w:bCs/>
                <w:sz w:val="24"/>
                <w:szCs w:val="24"/>
              </w:rPr>
            </w:pPr>
          </w:p>
        </w:tc>
        <w:tc>
          <w:tcPr>
            <w:tcW w:w="1275" w:type="pct"/>
            <w:vMerge w:val="continue"/>
            <w:shd w:val="clear" w:color="000000" w:fill="auto"/>
            <w:vAlign w:val="center"/>
          </w:tcPr>
          <w:p w14:paraId="45A7D58B">
            <w:pPr>
              <w:widowControl/>
              <w:spacing w:line="240" w:lineRule="auto"/>
              <w:ind w:firstLine="0" w:firstLineChars="0"/>
              <w:jc w:val="center"/>
              <w:rPr>
                <w:rFonts w:hint="eastAsia" w:ascii="仿宋" w:hAnsi="仿宋" w:eastAsia="仿宋" w:cs="仿宋"/>
                <w:bCs/>
                <w:sz w:val="24"/>
                <w:szCs w:val="24"/>
              </w:rPr>
            </w:pPr>
          </w:p>
        </w:tc>
        <w:tc>
          <w:tcPr>
            <w:tcW w:w="1868" w:type="dxa"/>
            <w:shd w:val="clear" w:color="000000" w:fill="auto"/>
            <w:vAlign w:val="center"/>
          </w:tcPr>
          <w:p w14:paraId="1D4A5A59">
            <w:pPr>
              <w:pStyle w:val="85"/>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氯乙烷</w:t>
            </w:r>
          </w:p>
        </w:tc>
        <w:tc>
          <w:tcPr>
            <w:tcW w:w="1258" w:type="dxa"/>
            <w:shd w:val="clear" w:color="000000" w:fill="auto"/>
            <w:vAlign w:val="center"/>
          </w:tcPr>
          <w:p w14:paraId="6CC2D063">
            <w:pPr>
              <w:pStyle w:val="85"/>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15330</w:t>
            </w:r>
          </w:p>
        </w:tc>
        <w:tc>
          <w:tcPr>
            <w:tcW w:w="1065" w:type="pct"/>
            <w:vMerge w:val="continue"/>
            <w:shd w:val="clear" w:color="000000" w:fill="auto"/>
            <w:vAlign w:val="center"/>
          </w:tcPr>
          <w:p w14:paraId="4228B509">
            <w:pPr>
              <w:widowControl/>
              <w:spacing w:line="240" w:lineRule="auto"/>
              <w:ind w:firstLine="0" w:firstLineChars="0"/>
              <w:jc w:val="center"/>
              <w:rPr>
                <w:rFonts w:hint="eastAsia" w:ascii="仿宋" w:hAnsi="仿宋" w:eastAsia="仿宋" w:cs="仿宋"/>
                <w:bCs/>
                <w:sz w:val="24"/>
                <w:szCs w:val="24"/>
              </w:rPr>
            </w:pPr>
          </w:p>
        </w:tc>
      </w:tr>
    </w:tbl>
    <w:p w14:paraId="5D42CADD">
      <w:pPr>
        <w:pStyle w:val="3"/>
        <w:spacing w:beforeLines="50" w:afterLines="50"/>
        <w:rPr>
          <w:rFonts w:hint="eastAsia" w:ascii="仿宋" w:hAnsi="仿宋" w:eastAsia="仿宋" w:cs="仿宋"/>
          <w:sz w:val="28"/>
          <w:szCs w:val="28"/>
        </w:rPr>
      </w:pPr>
      <w:bookmarkStart w:id="431" w:name="_Toc16773"/>
      <w:r>
        <w:rPr>
          <w:rFonts w:hint="eastAsia" w:ascii="仿宋" w:hAnsi="仿宋" w:eastAsia="仿宋" w:cs="仿宋"/>
          <w:sz w:val="28"/>
          <w:szCs w:val="28"/>
        </w:rPr>
        <w:t>4.3</w:t>
      </w:r>
      <w:bookmarkEnd w:id="412"/>
      <w:bookmarkEnd w:id="423"/>
      <w:bookmarkEnd w:id="424"/>
      <w:r>
        <w:rPr>
          <w:rFonts w:hint="eastAsia" w:ascii="仿宋" w:hAnsi="仿宋" w:eastAsia="仿宋" w:cs="仿宋"/>
          <w:sz w:val="28"/>
          <w:szCs w:val="28"/>
        </w:rPr>
        <w:t xml:space="preserve"> 排放量存在异常波动的原因说明</w:t>
      </w:r>
      <w:bookmarkEnd w:id="425"/>
      <w:bookmarkEnd w:id="426"/>
      <w:bookmarkEnd w:id="427"/>
      <w:bookmarkEnd w:id="428"/>
      <w:bookmarkEnd w:id="429"/>
      <w:bookmarkEnd w:id="430"/>
      <w:bookmarkEnd w:id="431"/>
    </w:p>
    <w:p w14:paraId="1378C893">
      <w:pPr>
        <w:widowControl/>
        <w:ind w:firstLine="561" w:firstLineChars="0"/>
        <w:jc w:val="left"/>
        <w:rPr>
          <w:rFonts w:hint="eastAsia" w:ascii="仿宋" w:hAnsi="仿宋" w:eastAsia="仿宋" w:cs="仿宋"/>
          <w:snapToGrid/>
          <w:szCs w:val="28"/>
        </w:rPr>
      </w:pPr>
      <w:r>
        <w:rPr>
          <w:rFonts w:hint="default" w:ascii="Times New Roman" w:hAnsi="Times New Roman" w:eastAsia="仿宋" w:cs="Times New Roman"/>
          <w:sz w:val="28"/>
          <w:szCs w:val="28"/>
          <w:highlight w:val="none"/>
        </w:rPr>
        <w:t>郯城众一科环化工有限公司</w:t>
      </w:r>
      <w:r>
        <w:rPr>
          <w:rFonts w:hint="eastAsia" w:ascii="仿宋" w:hAnsi="仿宋" w:eastAsia="仿宋" w:cs="仿宋"/>
          <w:szCs w:val="28"/>
        </w:rPr>
        <w:t>2023</w:t>
      </w:r>
      <w:r>
        <w:rPr>
          <w:rFonts w:hint="eastAsia" w:ascii="仿宋" w:hAnsi="仿宋" w:eastAsia="仿宋" w:cs="仿宋"/>
          <w:snapToGrid/>
          <w:szCs w:val="28"/>
        </w:rPr>
        <w:t>年度二氧化碳排放量与上一年度比较如下：</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5"/>
        <w:gridCol w:w="1503"/>
        <w:gridCol w:w="1641"/>
        <w:gridCol w:w="2529"/>
      </w:tblGrid>
      <w:tr w14:paraId="0DD1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4" w:type="pct"/>
            <w:shd w:val="clear" w:color="000000" w:fill="auto"/>
            <w:vAlign w:val="center"/>
          </w:tcPr>
          <w:p w14:paraId="708F9EF8">
            <w:pPr>
              <w:widowControl/>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年度</w:t>
            </w:r>
          </w:p>
        </w:tc>
        <w:tc>
          <w:tcPr>
            <w:tcW w:w="881" w:type="pct"/>
            <w:shd w:val="clear" w:color="000000" w:fill="auto"/>
            <w:vAlign w:val="center"/>
          </w:tcPr>
          <w:p w14:paraId="61B94380">
            <w:pPr>
              <w:widowControl/>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2022年</w:t>
            </w:r>
          </w:p>
        </w:tc>
        <w:tc>
          <w:tcPr>
            <w:tcW w:w="962" w:type="pct"/>
            <w:shd w:val="clear" w:color="000000" w:fill="auto"/>
            <w:vAlign w:val="center"/>
          </w:tcPr>
          <w:p w14:paraId="41430266">
            <w:pPr>
              <w:widowControl/>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2023年</w:t>
            </w:r>
          </w:p>
        </w:tc>
        <w:tc>
          <w:tcPr>
            <w:tcW w:w="1483" w:type="pct"/>
            <w:shd w:val="clear" w:color="000000" w:fill="auto"/>
            <w:vAlign w:val="center"/>
          </w:tcPr>
          <w:p w14:paraId="7C4AFCAD">
            <w:pPr>
              <w:widowControl/>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2023年相较于2022年波动</w:t>
            </w:r>
          </w:p>
        </w:tc>
      </w:tr>
      <w:tr w14:paraId="5FE34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4" w:type="pct"/>
            <w:vAlign w:val="center"/>
          </w:tcPr>
          <w:p w14:paraId="32E7B7CB">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企业温室气体排放总量（tCO2）</w:t>
            </w:r>
          </w:p>
        </w:tc>
        <w:tc>
          <w:tcPr>
            <w:tcW w:w="881" w:type="pct"/>
            <w:vAlign w:val="center"/>
          </w:tcPr>
          <w:p w14:paraId="096E2D55">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w:t>
            </w:r>
          </w:p>
        </w:tc>
        <w:tc>
          <w:tcPr>
            <w:tcW w:w="962" w:type="pct"/>
            <w:shd w:val="clear" w:color="auto" w:fill="auto"/>
            <w:vAlign w:val="center"/>
          </w:tcPr>
          <w:p w14:paraId="0DE6DD18">
            <w:pPr>
              <w:widowControl/>
              <w:spacing w:line="240" w:lineRule="auto"/>
              <w:ind w:firstLine="0" w:firstLineChars="0"/>
              <w:jc w:val="center"/>
              <w:rPr>
                <w:rFonts w:hint="default" w:ascii="仿宋" w:hAnsi="仿宋" w:eastAsia="仿宋" w:cs="仿宋"/>
                <w:bCs/>
                <w:kern w:val="0"/>
                <w:sz w:val="24"/>
                <w:szCs w:val="24"/>
                <w:highlight w:val="yellow"/>
                <w:lang w:val="en-US" w:eastAsia="zh-CN"/>
              </w:rPr>
            </w:pPr>
            <w:r>
              <w:rPr>
                <w:rFonts w:hint="eastAsia" w:ascii="仿宋" w:hAnsi="仿宋" w:eastAsia="仿宋" w:cs="仿宋"/>
                <w:sz w:val="24"/>
                <w:szCs w:val="24"/>
                <w:lang w:val="en-US" w:eastAsia="zh-CN"/>
              </w:rPr>
              <w:t>2030.67</w:t>
            </w:r>
          </w:p>
        </w:tc>
        <w:tc>
          <w:tcPr>
            <w:tcW w:w="1483" w:type="pct"/>
            <w:vAlign w:val="center"/>
          </w:tcPr>
          <w:p w14:paraId="26C8E633">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w:t>
            </w:r>
          </w:p>
        </w:tc>
      </w:tr>
      <w:tr w14:paraId="39EB0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4" w:type="pct"/>
            <w:vAlign w:val="center"/>
          </w:tcPr>
          <w:p w14:paraId="616293EA">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补充数据表二氧化碳排放总量（tCO2）</w:t>
            </w:r>
          </w:p>
        </w:tc>
        <w:tc>
          <w:tcPr>
            <w:tcW w:w="881" w:type="pct"/>
            <w:vAlign w:val="center"/>
          </w:tcPr>
          <w:p w14:paraId="5CD35EA5">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w:t>
            </w:r>
          </w:p>
        </w:tc>
        <w:tc>
          <w:tcPr>
            <w:tcW w:w="962" w:type="pct"/>
            <w:shd w:val="clear" w:color="auto" w:fill="auto"/>
            <w:vAlign w:val="center"/>
          </w:tcPr>
          <w:p w14:paraId="328A12C9">
            <w:pPr>
              <w:widowControl/>
              <w:spacing w:line="240" w:lineRule="auto"/>
              <w:ind w:firstLine="0" w:firstLineChars="0"/>
              <w:jc w:val="center"/>
              <w:rPr>
                <w:rFonts w:hint="default" w:ascii="仿宋" w:hAnsi="仿宋" w:eastAsia="仿宋" w:cs="仿宋"/>
                <w:bCs/>
                <w:kern w:val="0"/>
                <w:sz w:val="24"/>
                <w:szCs w:val="24"/>
                <w:highlight w:val="yellow"/>
                <w:lang w:val="en-US" w:eastAsia="zh-CN"/>
              </w:rPr>
            </w:pPr>
            <w:r>
              <w:rPr>
                <w:rFonts w:hint="eastAsia" w:ascii="仿宋" w:hAnsi="仿宋" w:eastAsia="仿宋" w:cs="仿宋"/>
                <w:bCs/>
                <w:sz w:val="24"/>
                <w:szCs w:val="24"/>
                <w:lang w:val="en-US" w:eastAsia="zh-CN"/>
              </w:rPr>
              <w:t>1939.15</w:t>
            </w:r>
          </w:p>
        </w:tc>
        <w:tc>
          <w:tcPr>
            <w:tcW w:w="1483" w:type="pct"/>
            <w:vAlign w:val="center"/>
          </w:tcPr>
          <w:p w14:paraId="353D4CB4">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w:t>
            </w:r>
          </w:p>
        </w:tc>
      </w:tr>
      <w:tr w14:paraId="4F16F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674" w:type="pct"/>
            <w:vAlign w:val="center"/>
          </w:tcPr>
          <w:p w14:paraId="53E1D2B9">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产品产值（万元）</w:t>
            </w:r>
          </w:p>
        </w:tc>
        <w:tc>
          <w:tcPr>
            <w:tcW w:w="881" w:type="pct"/>
            <w:vAlign w:val="center"/>
          </w:tcPr>
          <w:p w14:paraId="3A4F3C90">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w:t>
            </w:r>
          </w:p>
        </w:tc>
        <w:tc>
          <w:tcPr>
            <w:tcW w:w="962" w:type="pct"/>
            <w:shd w:val="clear" w:color="auto" w:fill="auto"/>
            <w:vAlign w:val="center"/>
          </w:tcPr>
          <w:p w14:paraId="4EB9F40C">
            <w:pPr>
              <w:widowControl/>
              <w:spacing w:line="240" w:lineRule="auto"/>
              <w:ind w:firstLine="0" w:firstLineChars="0"/>
              <w:jc w:val="center"/>
              <w:rPr>
                <w:rFonts w:hint="default" w:ascii="仿宋" w:hAnsi="仿宋" w:eastAsia="仿宋" w:cs="仿宋"/>
                <w:bCs/>
                <w:kern w:val="0"/>
                <w:sz w:val="24"/>
                <w:szCs w:val="24"/>
                <w:highlight w:val="yellow"/>
                <w:lang w:val="en-US" w:eastAsia="zh-CN"/>
              </w:rPr>
            </w:pPr>
            <w:r>
              <w:rPr>
                <w:rFonts w:hint="eastAsia" w:ascii="仿宋" w:hAnsi="仿宋" w:eastAsia="仿宋" w:cs="仿宋"/>
                <w:bCs/>
                <w:kern w:val="0"/>
                <w:sz w:val="24"/>
                <w:szCs w:val="24"/>
                <w:highlight w:val="none"/>
                <w:lang w:val="en-US" w:eastAsia="zh-CN"/>
              </w:rPr>
              <w:t>24470.7</w:t>
            </w:r>
          </w:p>
        </w:tc>
        <w:tc>
          <w:tcPr>
            <w:tcW w:w="1483" w:type="pct"/>
            <w:vAlign w:val="center"/>
          </w:tcPr>
          <w:p w14:paraId="468888C4">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w:t>
            </w:r>
          </w:p>
        </w:tc>
      </w:tr>
      <w:tr w14:paraId="76046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4" w:type="pct"/>
            <w:vAlign w:val="center"/>
          </w:tcPr>
          <w:p w14:paraId="3BE5C2A5">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单位产值碳排放强度（tCO2/万元）</w:t>
            </w:r>
          </w:p>
        </w:tc>
        <w:tc>
          <w:tcPr>
            <w:tcW w:w="881" w:type="pct"/>
            <w:vAlign w:val="center"/>
          </w:tcPr>
          <w:p w14:paraId="60605832">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w:t>
            </w:r>
          </w:p>
        </w:tc>
        <w:tc>
          <w:tcPr>
            <w:tcW w:w="962" w:type="pct"/>
            <w:shd w:val="clear" w:color="auto" w:fill="auto"/>
            <w:vAlign w:val="center"/>
          </w:tcPr>
          <w:p w14:paraId="39306DAE">
            <w:pPr>
              <w:widowControl/>
              <w:spacing w:line="240" w:lineRule="auto"/>
              <w:ind w:firstLine="0" w:firstLineChars="0"/>
              <w:jc w:val="center"/>
              <w:rPr>
                <w:rFonts w:hint="default" w:ascii="仿宋" w:hAnsi="仿宋" w:eastAsia="仿宋" w:cs="仿宋"/>
                <w:bCs/>
                <w:kern w:val="0"/>
                <w:sz w:val="24"/>
                <w:szCs w:val="24"/>
                <w:highlight w:val="yellow"/>
                <w:lang w:val="en-US" w:eastAsia="zh-CN"/>
              </w:rPr>
            </w:pPr>
            <w:r>
              <w:rPr>
                <w:rFonts w:hint="eastAsia" w:ascii="仿宋" w:hAnsi="仿宋" w:eastAsia="仿宋" w:cs="仿宋"/>
                <w:bCs/>
                <w:kern w:val="0"/>
                <w:sz w:val="24"/>
                <w:szCs w:val="24"/>
                <w:lang w:val="en-US" w:eastAsia="zh-CN"/>
              </w:rPr>
              <w:t>0.0829</w:t>
            </w:r>
          </w:p>
        </w:tc>
        <w:tc>
          <w:tcPr>
            <w:tcW w:w="1483" w:type="pct"/>
            <w:vAlign w:val="center"/>
          </w:tcPr>
          <w:p w14:paraId="31F6DCAC">
            <w:pPr>
              <w:widowControl/>
              <w:spacing w:line="240" w:lineRule="auto"/>
              <w:ind w:firstLine="0" w:firstLineChars="0"/>
              <w:jc w:val="center"/>
              <w:rPr>
                <w:rFonts w:hint="eastAsia" w:ascii="仿宋" w:hAnsi="仿宋" w:eastAsia="仿宋" w:cs="仿宋"/>
                <w:bCs/>
                <w:kern w:val="0"/>
                <w:sz w:val="24"/>
                <w:szCs w:val="24"/>
              </w:rPr>
            </w:pPr>
            <w:r>
              <w:rPr>
                <w:rFonts w:hint="eastAsia" w:ascii="仿宋" w:hAnsi="仿宋" w:eastAsia="仿宋" w:cs="仿宋"/>
                <w:bCs/>
                <w:kern w:val="0"/>
                <w:sz w:val="24"/>
                <w:szCs w:val="24"/>
              </w:rPr>
              <w:t>/</w:t>
            </w:r>
          </w:p>
        </w:tc>
      </w:tr>
    </w:tbl>
    <w:p w14:paraId="360DD5ED">
      <w:pPr>
        <w:widowControl/>
        <w:ind w:firstLine="561" w:firstLineChars="0"/>
        <w:jc w:val="left"/>
        <w:rPr>
          <w:rFonts w:hint="eastAsia" w:ascii="仿宋" w:hAnsi="仿宋" w:eastAsia="仿宋" w:cs="仿宋"/>
          <w:snapToGrid/>
          <w:szCs w:val="28"/>
        </w:rPr>
      </w:pPr>
      <w:r>
        <w:rPr>
          <w:rFonts w:hint="eastAsia" w:ascii="仿宋" w:hAnsi="仿宋" w:eastAsia="仿宋" w:cs="仿宋"/>
          <w:snapToGrid/>
          <w:sz w:val="24"/>
          <w:szCs w:val="24"/>
        </w:rPr>
        <w:t>企业2022年度未开展温室气体核查工作，所以2023年度二氧化碳排放量暂不做对比。</w:t>
      </w:r>
    </w:p>
    <w:p w14:paraId="795C4E47">
      <w:pPr>
        <w:pStyle w:val="3"/>
        <w:spacing w:beforeLines="50" w:afterLines="50"/>
        <w:rPr>
          <w:rFonts w:hint="eastAsia" w:ascii="仿宋" w:hAnsi="仿宋" w:eastAsia="仿宋" w:cs="仿宋"/>
          <w:sz w:val="28"/>
          <w:szCs w:val="28"/>
        </w:rPr>
      </w:pPr>
      <w:bookmarkStart w:id="432" w:name="_Toc28351"/>
      <w:bookmarkStart w:id="433" w:name="_Toc20930"/>
      <w:bookmarkStart w:id="434" w:name="_Toc4603_WPSOffice_Level2"/>
      <w:bookmarkStart w:id="435" w:name="_Toc28780"/>
      <w:bookmarkStart w:id="436" w:name="_Toc503300138"/>
      <w:bookmarkStart w:id="437" w:name="_Toc21057"/>
      <w:bookmarkStart w:id="438" w:name="_Toc5254"/>
      <w:r>
        <w:rPr>
          <w:rFonts w:hint="eastAsia" w:ascii="仿宋" w:hAnsi="仿宋" w:eastAsia="仿宋" w:cs="仿宋"/>
          <w:sz w:val="28"/>
          <w:szCs w:val="28"/>
        </w:rPr>
        <w:t>4.4 核查过程中未覆盖的问题或者需要特别说明的问题描述</w:t>
      </w:r>
      <w:bookmarkEnd w:id="432"/>
      <w:bookmarkEnd w:id="433"/>
      <w:bookmarkEnd w:id="434"/>
      <w:bookmarkEnd w:id="435"/>
      <w:bookmarkEnd w:id="436"/>
      <w:bookmarkEnd w:id="437"/>
      <w:bookmarkEnd w:id="438"/>
    </w:p>
    <w:p w14:paraId="585B6CFA">
      <w:pPr>
        <w:widowControl/>
        <w:ind w:firstLine="561" w:firstLineChars="0"/>
        <w:jc w:val="left"/>
        <w:rPr>
          <w:rFonts w:hint="eastAsia" w:ascii="仿宋" w:hAnsi="仿宋" w:eastAsia="仿宋" w:cs="仿宋"/>
          <w:snapToGrid/>
          <w:szCs w:val="28"/>
        </w:rPr>
      </w:pPr>
      <w:bookmarkStart w:id="439" w:name="_Toc24232"/>
      <w:bookmarkStart w:id="440" w:name="_Toc11531"/>
      <w:bookmarkStart w:id="441" w:name="_Toc444197218"/>
      <w:bookmarkStart w:id="442" w:name="_Toc4187"/>
      <w:bookmarkStart w:id="443" w:name="_Toc9373"/>
      <w:bookmarkStart w:id="444" w:name="_Toc444196327"/>
      <w:bookmarkStart w:id="445" w:name="_Toc29951"/>
      <w:bookmarkStart w:id="446" w:name="_Toc23944_WPSOffice_Level1"/>
      <w:bookmarkStart w:id="447" w:name="_Toc16699"/>
      <w:bookmarkStart w:id="448" w:name="_Toc503300139"/>
      <w:bookmarkStart w:id="449" w:name="_Toc32657"/>
      <w:bookmarkStart w:id="450" w:name="_Toc24691"/>
      <w:bookmarkStart w:id="451" w:name="_Toc6032"/>
      <w:r>
        <w:rPr>
          <w:rFonts w:hint="eastAsia" w:ascii="仿宋" w:hAnsi="仿宋" w:eastAsia="仿宋" w:cs="仿宋"/>
          <w:snapToGrid/>
          <w:szCs w:val="28"/>
        </w:rPr>
        <w:t>无</w:t>
      </w:r>
    </w:p>
    <w:p w14:paraId="34F36C11">
      <w:pPr>
        <w:widowControl/>
        <w:ind w:firstLine="0" w:firstLineChars="0"/>
        <w:outlineLvl w:val="0"/>
        <w:rPr>
          <w:rFonts w:hint="eastAsia" w:ascii="仿宋" w:hAnsi="仿宋" w:eastAsia="仿宋" w:cs="仿宋"/>
          <w:szCs w:val="28"/>
        </w:rPr>
      </w:pPr>
      <w:r>
        <w:rPr>
          <w:rFonts w:hint="eastAsia" w:ascii="仿宋" w:hAnsi="仿宋" w:eastAsia="仿宋" w:cs="仿宋"/>
          <w:szCs w:val="28"/>
        </w:rPr>
        <w:br w:type="page"/>
      </w:r>
      <w:bookmarkStart w:id="452" w:name="_Toc14767"/>
      <w:r>
        <w:rPr>
          <w:rFonts w:hint="eastAsia" w:ascii="仿宋" w:hAnsi="仿宋" w:eastAsia="仿宋" w:cs="仿宋"/>
          <w:b/>
          <w:snapToGrid/>
          <w:kern w:val="44"/>
          <w:szCs w:val="28"/>
        </w:rPr>
        <w:t>5</w:t>
      </w:r>
      <w:bookmarkEnd w:id="439"/>
      <w:bookmarkEnd w:id="440"/>
      <w:r>
        <w:rPr>
          <w:rFonts w:hint="eastAsia" w:ascii="仿宋" w:hAnsi="仿宋" w:eastAsia="仿宋" w:cs="仿宋"/>
          <w:b/>
          <w:snapToGrid/>
          <w:kern w:val="44"/>
          <w:szCs w:val="28"/>
        </w:rPr>
        <w:t xml:space="preserve"> 附件</w:t>
      </w:r>
      <w:bookmarkEnd w:id="441"/>
      <w:bookmarkEnd w:id="442"/>
      <w:bookmarkEnd w:id="443"/>
      <w:bookmarkEnd w:id="444"/>
      <w:bookmarkEnd w:id="445"/>
      <w:bookmarkEnd w:id="446"/>
      <w:bookmarkEnd w:id="447"/>
      <w:bookmarkEnd w:id="448"/>
      <w:bookmarkEnd w:id="449"/>
      <w:bookmarkEnd w:id="450"/>
      <w:bookmarkEnd w:id="451"/>
      <w:bookmarkEnd w:id="452"/>
    </w:p>
    <w:p w14:paraId="4F6D8805">
      <w:pPr>
        <w:pStyle w:val="3"/>
        <w:spacing w:beforeLines="50" w:afterLines="50"/>
        <w:rPr>
          <w:rFonts w:hint="eastAsia" w:ascii="仿宋" w:hAnsi="仿宋" w:eastAsia="仿宋" w:cs="仿宋"/>
          <w:sz w:val="28"/>
          <w:szCs w:val="28"/>
        </w:rPr>
      </w:pPr>
      <w:bookmarkStart w:id="453" w:name="_Toc444197219"/>
      <w:bookmarkStart w:id="454" w:name="_Toc2040"/>
      <w:bookmarkStart w:id="455" w:name="_Toc444196328"/>
      <w:bookmarkStart w:id="456" w:name="_Toc503300140"/>
      <w:bookmarkStart w:id="457" w:name="_Toc2929"/>
      <w:bookmarkStart w:id="458" w:name="_Toc15933"/>
      <w:bookmarkStart w:id="459" w:name="_Toc17759"/>
      <w:bookmarkStart w:id="460" w:name="_Toc28259"/>
      <w:bookmarkStart w:id="461" w:name="_Toc19891_WPSOffice_Level1"/>
      <w:bookmarkStart w:id="462" w:name="_Toc25300"/>
      <w:r>
        <w:rPr>
          <w:rFonts w:hint="eastAsia" w:ascii="仿宋" w:hAnsi="仿宋" w:eastAsia="仿宋" w:cs="仿宋"/>
          <w:sz w:val="28"/>
          <w:szCs w:val="28"/>
        </w:rPr>
        <w:t>附件1：不符合清单</w:t>
      </w:r>
      <w:bookmarkEnd w:id="453"/>
      <w:bookmarkEnd w:id="454"/>
      <w:bookmarkEnd w:id="455"/>
      <w:bookmarkEnd w:id="456"/>
      <w:bookmarkEnd w:id="457"/>
      <w:bookmarkEnd w:id="458"/>
      <w:bookmarkEnd w:id="459"/>
      <w:bookmarkEnd w:id="460"/>
      <w:bookmarkEnd w:id="461"/>
      <w:bookmarkEnd w:id="462"/>
    </w:p>
    <w:p w14:paraId="1971EC11">
      <w:pPr>
        <w:ind w:firstLine="0" w:firstLineChars="0"/>
        <w:jc w:val="center"/>
        <w:rPr>
          <w:rFonts w:hint="eastAsia" w:ascii="仿宋" w:hAnsi="仿宋" w:eastAsia="仿宋" w:cs="仿宋"/>
          <w:b/>
          <w:szCs w:val="28"/>
        </w:rPr>
      </w:pPr>
      <w:bookmarkStart w:id="463" w:name="_Toc21847_WPSOffice_Level2"/>
      <w:bookmarkStart w:id="464" w:name="_Toc20592_WPSOffice_Level2"/>
      <w:bookmarkStart w:id="465" w:name="_Toc10283_WPSOffice_Level2"/>
      <w:bookmarkStart w:id="466" w:name="_Toc9923_WPSOffice_Level2"/>
      <w:r>
        <w:rPr>
          <w:rFonts w:hint="eastAsia" w:ascii="仿宋" w:hAnsi="仿宋" w:eastAsia="仿宋" w:cs="仿宋"/>
          <w:b/>
          <w:szCs w:val="28"/>
        </w:rPr>
        <w:t>不符合清单</w:t>
      </w:r>
      <w:bookmarkEnd w:id="463"/>
      <w:bookmarkEnd w:id="464"/>
      <w:bookmarkEnd w:id="465"/>
      <w:bookmarkEnd w:id="466"/>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1934"/>
        <w:gridCol w:w="1748"/>
        <w:gridCol w:w="2041"/>
        <w:gridCol w:w="2061"/>
      </w:tblGrid>
      <w:tr w14:paraId="28F4E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822" w:type="dxa"/>
            <w:vAlign w:val="center"/>
          </w:tcPr>
          <w:p w14:paraId="2F706BB8">
            <w:pPr>
              <w:pStyle w:val="66"/>
              <w:adjustRightInd/>
              <w:spacing w:line="360" w:lineRule="auto"/>
              <w:rPr>
                <w:rFonts w:hint="eastAsia" w:ascii="仿宋" w:hAnsi="仿宋" w:eastAsia="仿宋" w:cs="仿宋"/>
                <w:b/>
                <w:bCs/>
                <w:szCs w:val="24"/>
              </w:rPr>
            </w:pPr>
            <w:r>
              <w:rPr>
                <w:rFonts w:hint="eastAsia" w:ascii="仿宋" w:hAnsi="仿宋" w:eastAsia="仿宋" w:cs="仿宋"/>
                <w:b/>
                <w:bCs/>
                <w:szCs w:val="24"/>
              </w:rPr>
              <w:t>序号</w:t>
            </w:r>
          </w:p>
        </w:tc>
        <w:tc>
          <w:tcPr>
            <w:tcW w:w="1934" w:type="dxa"/>
            <w:vAlign w:val="center"/>
          </w:tcPr>
          <w:p w14:paraId="2209A4FE">
            <w:pPr>
              <w:pStyle w:val="66"/>
              <w:adjustRightInd/>
              <w:spacing w:line="360" w:lineRule="auto"/>
              <w:rPr>
                <w:rFonts w:hint="eastAsia" w:ascii="仿宋" w:hAnsi="仿宋" w:eastAsia="仿宋" w:cs="仿宋"/>
                <w:b/>
                <w:bCs/>
                <w:szCs w:val="24"/>
              </w:rPr>
            </w:pPr>
            <w:r>
              <w:rPr>
                <w:rFonts w:hint="eastAsia" w:ascii="仿宋" w:hAnsi="仿宋" w:eastAsia="仿宋" w:cs="仿宋"/>
                <w:b/>
                <w:bCs/>
                <w:szCs w:val="24"/>
              </w:rPr>
              <w:t>不符合项描述</w:t>
            </w:r>
          </w:p>
        </w:tc>
        <w:tc>
          <w:tcPr>
            <w:tcW w:w="1748" w:type="dxa"/>
            <w:vAlign w:val="center"/>
          </w:tcPr>
          <w:p w14:paraId="292CD62D">
            <w:pPr>
              <w:pStyle w:val="66"/>
              <w:adjustRightInd/>
              <w:spacing w:line="360" w:lineRule="auto"/>
              <w:rPr>
                <w:rFonts w:hint="eastAsia" w:ascii="仿宋" w:hAnsi="仿宋" w:eastAsia="仿宋" w:cs="仿宋"/>
                <w:b/>
                <w:bCs/>
                <w:szCs w:val="24"/>
              </w:rPr>
            </w:pPr>
            <w:r>
              <w:rPr>
                <w:rFonts w:hint="eastAsia" w:ascii="仿宋" w:hAnsi="仿宋" w:eastAsia="仿宋" w:cs="仿宋"/>
                <w:b/>
                <w:bCs/>
                <w:szCs w:val="24"/>
              </w:rPr>
              <w:t>受核查方</w:t>
            </w:r>
          </w:p>
          <w:p w14:paraId="212F0CB1">
            <w:pPr>
              <w:pStyle w:val="66"/>
              <w:adjustRightInd/>
              <w:spacing w:line="360" w:lineRule="auto"/>
              <w:rPr>
                <w:rFonts w:hint="eastAsia" w:ascii="仿宋" w:hAnsi="仿宋" w:eastAsia="仿宋" w:cs="仿宋"/>
                <w:b/>
                <w:bCs/>
                <w:szCs w:val="24"/>
              </w:rPr>
            </w:pPr>
            <w:r>
              <w:rPr>
                <w:rFonts w:hint="eastAsia" w:ascii="仿宋" w:hAnsi="仿宋" w:eastAsia="仿宋" w:cs="仿宋"/>
                <w:b/>
                <w:bCs/>
                <w:szCs w:val="24"/>
              </w:rPr>
              <w:t>原因分析</w:t>
            </w:r>
          </w:p>
        </w:tc>
        <w:tc>
          <w:tcPr>
            <w:tcW w:w="2041" w:type="dxa"/>
            <w:vAlign w:val="center"/>
          </w:tcPr>
          <w:p w14:paraId="656299BF">
            <w:pPr>
              <w:pStyle w:val="66"/>
              <w:adjustRightInd/>
              <w:spacing w:line="360" w:lineRule="auto"/>
              <w:rPr>
                <w:rFonts w:hint="eastAsia" w:ascii="仿宋" w:hAnsi="仿宋" w:eastAsia="仿宋" w:cs="仿宋"/>
                <w:b/>
                <w:bCs/>
                <w:szCs w:val="24"/>
              </w:rPr>
            </w:pPr>
            <w:r>
              <w:rPr>
                <w:rFonts w:hint="eastAsia" w:ascii="仿宋" w:hAnsi="仿宋" w:eastAsia="仿宋" w:cs="仿宋"/>
                <w:b/>
                <w:bCs/>
                <w:szCs w:val="24"/>
              </w:rPr>
              <w:t>受核查方采取的</w:t>
            </w:r>
          </w:p>
          <w:p w14:paraId="12BE0C2F">
            <w:pPr>
              <w:pStyle w:val="66"/>
              <w:adjustRightInd/>
              <w:spacing w:line="360" w:lineRule="auto"/>
              <w:rPr>
                <w:rFonts w:hint="eastAsia" w:ascii="仿宋" w:hAnsi="仿宋" w:eastAsia="仿宋" w:cs="仿宋"/>
                <w:b/>
                <w:bCs/>
                <w:szCs w:val="24"/>
              </w:rPr>
            </w:pPr>
            <w:r>
              <w:rPr>
                <w:rFonts w:hint="eastAsia" w:ascii="仿宋" w:hAnsi="仿宋" w:eastAsia="仿宋" w:cs="仿宋"/>
                <w:b/>
                <w:bCs/>
                <w:szCs w:val="24"/>
              </w:rPr>
              <w:t>纠正措施</w:t>
            </w:r>
          </w:p>
        </w:tc>
        <w:tc>
          <w:tcPr>
            <w:tcW w:w="2061" w:type="dxa"/>
            <w:vAlign w:val="center"/>
          </w:tcPr>
          <w:p w14:paraId="0B7A7C46">
            <w:pPr>
              <w:pStyle w:val="66"/>
              <w:adjustRightInd/>
              <w:spacing w:line="360" w:lineRule="auto"/>
              <w:rPr>
                <w:rFonts w:hint="eastAsia" w:ascii="仿宋" w:hAnsi="仿宋" w:eastAsia="仿宋" w:cs="仿宋"/>
                <w:b/>
                <w:bCs/>
                <w:szCs w:val="24"/>
              </w:rPr>
            </w:pPr>
            <w:r>
              <w:rPr>
                <w:rFonts w:hint="eastAsia" w:ascii="仿宋" w:hAnsi="仿宋" w:eastAsia="仿宋" w:cs="仿宋"/>
                <w:b/>
                <w:bCs/>
                <w:szCs w:val="24"/>
              </w:rPr>
              <w:t>核查结论</w:t>
            </w:r>
          </w:p>
        </w:tc>
      </w:tr>
      <w:tr w14:paraId="6B6B1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822" w:type="dxa"/>
            <w:vAlign w:val="center"/>
          </w:tcPr>
          <w:p w14:paraId="05367616">
            <w:pPr>
              <w:pStyle w:val="66"/>
              <w:adjustRightInd/>
              <w:spacing w:line="360" w:lineRule="auto"/>
              <w:rPr>
                <w:rFonts w:hint="eastAsia" w:ascii="仿宋" w:hAnsi="仿宋" w:eastAsia="仿宋" w:cs="仿宋"/>
                <w:szCs w:val="24"/>
              </w:rPr>
            </w:pPr>
            <w:r>
              <w:rPr>
                <w:rFonts w:hint="eastAsia" w:ascii="仿宋" w:hAnsi="仿宋" w:eastAsia="仿宋" w:cs="仿宋"/>
                <w:szCs w:val="24"/>
              </w:rPr>
              <w:t>/</w:t>
            </w:r>
          </w:p>
        </w:tc>
        <w:tc>
          <w:tcPr>
            <w:tcW w:w="1934" w:type="dxa"/>
            <w:vAlign w:val="center"/>
          </w:tcPr>
          <w:p w14:paraId="267BE131">
            <w:pPr>
              <w:pStyle w:val="66"/>
              <w:adjustRightInd/>
              <w:spacing w:line="360" w:lineRule="auto"/>
              <w:rPr>
                <w:rFonts w:hint="eastAsia" w:ascii="仿宋" w:hAnsi="仿宋" w:eastAsia="仿宋" w:cs="仿宋"/>
                <w:szCs w:val="24"/>
              </w:rPr>
            </w:pPr>
            <w:r>
              <w:rPr>
                <w:rFonts w:hint="eastAsia" w:ascii="仿宋" w:hAnsi="仿宋" w:eastAsia="仿宋" w:cs="仿宋"/>
                <w:szCs w:val="24"/>
              </w:rPr>
              <w:t>/</w:t>
            </w:r>
          </w:p>
        </w:tc>
        <w:tc>
          <w:tcPr>
            <w:tcW w:w="1748" w:type="dxa"/>
            <w:vAlign w:val="center"/>
          </w:tcPr>
          <w:p w14:paraId="6BCB98B6">
            <w:pPr>
              <w:pStyle w:val="66"/>
              <w:adjustRightInd/>
              <w:spacing w:line="360" w:lineRule="auto"/>
              <w:rPr>
                <w:rFonts w:hint="eastAsia" w:ascii="仿宋" w:hAnsi="仿宋" w:eastAsia="仿宋" w:cs="仿宋"/>
                <w:szCs w:val="24"/>
              </w:rPr>
            </w:pPr>
            <w:r>
              <w:rPr>
                <w:rFonts w:hint="eastAsia" w:ascii="仿宋" w:hAnsi="仿宋" w:eastAsia="仿宋" w:cs="仿宋"/>
                <w:szCs w:val="24"/>
              </w:rPr>
              <w:t>/</w:t>
            </w:r>
          </w:p>
        </w:tc>
        <w:tc>
          <w:tcPr>
            <w:tcW w:w="2041" w:type="dxa"/>
            <w:vAlign w:val="center"/>
          </w:tcPr>
          <w:p w14:paraId="77CA7E2E">
            <w:pPr>
              <w:pStyle w:val="66"/>
              <w:adjustRightInd/>
              <w:spacing w:line="360" w:lineRule="auto"/>
              <w:rPr>
                <w:rFonts w:hint="eastAsia" w:ascii="仿宋" w:hAnsi="仿宋" w:eastAsia="仿宋" w:cs="仿宋"/>
                <w:szCs w:val="24"/>
              </w:rPr>
            </w:pPr>
            <w:r>
              <w:rPr>
                <w:rFonts w:hint="eastAsia" w:ascii="仿宋" w:hAnsi="仿宋" w:eastAsia="仿宋" w:cs="仿宋"/>
                <w:szCs w:val="24"/>
              </w:rPr>
              <w:t>/</w:t>
            </w:r>
          </w:p>
        </w:tc>
        <w:tc>
          <w:tcPr>
            <w:tcW w:w="2061" w:type="dxa"/>
            <w:vAlign w:val="center"/>
          </w:tcPr>
          <w:p w14:paraId="07E185D7">
            <w:pPr>
              <w:pStyle w:val="66"/>
              <w:adjustRightInd/>
              <w:spacing w:line="360" w:lineRule="auto"/>
              <w:rPr>
                <w:rFonts w:hint="eastAsia" w:ascii="仿宋" w:hAnsi="仿宋" w:eastAsia="仿宋" w:cs="仿宋"/>
                <w:szCs w:val="24"/>
              </w:rPr>
            </w:pPr>
            <w:r>
              <w:rPr>
                <w:rFonts w:hint="eastAsia" w:ascii="仿宋" w:hAnsi="仿宋" w:eastAsia="仿宋" w:cs="仿宋"/>
                <w:szCs w:val="24"/>
              </w:rPr>
              <w:t>/</w:t>
            </w:r>
          </w:p>
        </w:tc>
      </w:tr>
    </w:tbl>
    <w:p w14:paraId="3D618A61">
      <w:pPr>
        <w:rPr>
          <w:rFonts w:hint="eastAsia" w:ascii="仿宋" w:hAnsi="仿宋" w:eastAsia="仿宋" w:cs="仿宋"/>
          <w:szCs w:val="28"/>
        </w:rPr>
      </w:pPr>
      <w:bookmarkStart w:id="467" w:name="_Toc28646"/>
      <w:bookmarkStart w:id="468" w:name="_Toc444196329"/>
      <w:bookmarkStart w:id="469" w:name="_Toc444197220"/>
    </w:p>
    <w:p w14:paraId="58632AB0">
      <w:pPr>
        <w:pStyle w:val="3"/>
        <w:spacing w:beforeLines="50" w:afterLines="50"/>
        <w:rPr>
          <w:rFonts w:hint="eastAsia" w:ascii="仿宋" w:hAnsi="仿宋" w:eastAsia="仿宋" w:cs="仿宋"/>
          <w:sz w:val="28"/>
          <w:szCs w:val="28"/>
        </w:rPr>
      </w:pPr>
      <w:bookmarkStart w:id="470" w:name="_Toc28038_WPSOffice_Level1"/>
      <w:bookmarkStart w:id="471" w:name="_Toc503300141"/>
      <w:bookmarkStart w:id="472" w:name="_Toc17441"/>
      <w:bookmarkStart w:id="473" w:name="_Toc23298"/>
      <w:bookmarkStart w:id="474" w:name="_Toc2351"/>
      <w:bookmarkStart w:id="475" w:name="_Toc3353"/>
      <w:bookmarkStart w:id="476" w:name="_Toc11911"/>
      <w:r>
        <w:rPr>
          <w:rFonts w:hint="eastAsia" w:ascii="仿宋" w:hAnsi="仿宋" w:eastAsia="仿宋" w:cs="仿宋"/>
          <w:sz w:val="28"/>
          <w:szCs w:val="28"/>
        </w:rPr>
        <w:t>附件2：对今后核算活动的建议</w:t>
      </w:r>
      <w:bookmarkEnd w:id="467"/>
      <w:bookmarkEnd w:id="468"/>
      <w:bookmarkEnd w:id="469"/>
      <w:bookmarkEnd w:id="470"/>
      <w:bookmarkEnd w:id="471"/>
      <w:bookmarkEnd w:id="472"/>
      <w:bookmarkEnd w:id="473"/>
      <w:bookmarkEnd w:id="474"/>
      <w:bookmarkEnd w:id="475"/>
      <w:bookmarkEnd w:id="476"/>
    </w:p>
    <w:p w14:paraId="4253D277">
      <w:pPr>
        <w:rPr>
          <w:rFonts w:hint="eastAsia" w:ascii="仿宋" w:hAnsi="仿宋" w:eastAsia="仿宋" w:cs="仿宋"/>
          <w:szCs w:val="28"/>
        </w:rPr>
      </w:pPr>
      <w:r>
        <w:rPr>
          <w:rFonts w:hint="eastAsia" w:ascii="仿宋" w:hAnsi="仿宋" w:eastAsia="仿宋" w:cs="仿宋"/>
          <w:szCs w:val="28"/>
        </w:rPr>
        <w:t>核查组对受核查方今后核算活动的建议如下：</w:t>
      </w:r>
    </w:p>
    <w:p w14:paraId="67D2EC09">
      <w:pPr>
        <w:rPr>
          <w:rFonts w:hint="eastAsia" w:ascii="仿宋" w:hAnsi="仿宋" w:eastAsia="仿宋" w:cs="仿宋"/>
          <w:szCs w:val="28"/>
        </w:rPr>
      </w:pPr>
      <w:r>
        <w:rPr>
          <w:rFonts w:hint="eastAsia" w:ascii="仿宋" w:hAnsi="仿宋" w:eastAsia="仿宋" w:cs="仿宋"/>
          <w:szCs w:val="28"/>
        </w:rPr>
        <w:t>（1）按照《核算指南》要求，健全档案管理制度，加强对原始记录的管理；</w:t>
      </w:r>
    </w:p>
    <w:p w14:paraId="350CA1F4">
      <w:pPr>
        <w:rPr>
          <w:rFonts w:hint="eastAsia" w:ascii="仿宋" w:hAnsi="仿宋" w:eastAsia="仿宋" w:cs="仿宋"/>
          <w:szCs w:val="28"/>
        </w:rPr>
      </w:pPr>
      <w:r>
        <w:rPr>
          <w:rFonts w:hint="eastAsia" w:ascii="仿宋" w:hAnsi="仿宋" w:eastAsia="仿宋" w:cs="仿宋"/>
          <w:szCs w:val="28"/>
        </w:rPr>
        <w:t>（2）建议完善企业内部的温室气体排放管理体系建设，将温室气体排放量等指标纳入日常工作考核指标中。</w:t>
      </w:r>
    </w:p>
    <w:p w14:paraId="034772A4">
      <w:pPr>
        <w:pStyle w:val="3"/>
        <w:rPr>
          <w:rFonts w:hint="eastAsia" w:ascii="仿宋" w:hAnsi="仿宋" w:eastAsia="仿宋" w:cs="仿宋"/>
        </w:rPr>
      </w:pPr>
      <w:bookmarkStart w:id="477" w:name="_Toc1504"/>
      <w:bookmarkStart w:id="478" w:name="_Toc19934"/>
      <w:bookmarkStart w:id="479" w:name="_Toc27482"/>
      <w:bookmarkStart w:id="480" w:name="_Toc444196330"/>
      <w:bookmarkStart w:id="481" w:name="_Toc444197221"/>
      <w:bookmarkStart w:id="482" w:name="_Toc425855555"/>
      <w:r>
        <w:rPr>
          <w:rFonts w:hint="eastAsia" w:ascii="仿宋" w:hAnsi="仿宋" w:eastAsia="仿宋" w:cs="仿宋"/>
        </w:rPr>
        <w:br w:type="page"/>
      </w:r>
      <w:bookmarkStart w:id="483" w:name="_Toc31606"/>
      <w:bookmarkStart w:id="484" w:name="_Toc503300142"/>
      <w:bookmarkStart w:id="485" w:name="_Toc11703"/>
      <w:bookmarkStart w:id="486" w:name="_Toc9164"/>
      <w:bookmarkStart w:id="487" w:name="_Toc1702"/>
      <w:bookmarkStart w:id="488" w:name="_Toc18038"/>
      <w:bookmarkStart w:id="489" w:name="_Toc24092_WPSOffice_Level1"/>
      <w:r>
        <w:rPr>
          <w:rFonts w:hint="eastAsia" w:ascii="仿宋" w:hAnsi="仿宋" w:eastAsia="仿宋" w:cs="仿宋"/>
          <w:sz w:val="28"/>
          <w:szCs w:val="28"/>
        </w:rPr>
        <w:t>附件3：支持性文件清单</w:t>
      </w:r>
      <w:bookmarkEnd w:id="477"/>
      <w:bookmarkEnd w:id="478"/>
      <w:bookmarkEnd w:id="479"/>
      <w:bookmarkEnd w:id="480"/>
      <w:bookmarkEnd w:id="481"/>
      <w:bookmarkEnd w:id="482"/>
      <w:bookmarkEnd w:id="483"/>
      <w:bookmarkEnd w:id="484"/>
      <w:bookmarkEnd w:id="485"/>
      <w:bookmarkEnd w:id="486"/>
      <w:bookmarkEnd w:id="487"/>
      <w:bookmarkEnd w:id="488"/>
      <w:bookmarkEnd w:id="489"/>
    </w:p>
    <w:tbl>
      <w:tblPr>
        <w:tblStyle w:val="27"/>
        <w:tblW w:w="860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997"/>
        <w:gridCol w:w="7609"/>
      </w:tblGrid>
      <w:tr w14:paraId="7BE155F8">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6" w:hRule="atLeast"/>
          <w:jc w:val="center"/>
        </w:trPr>
        <w:tc>
          <w:tcPr>
            <w:tcW w:w="997" w:type="dxa"/>
            <w:vAlign w:val="center"/>
          </w:tcPr>
          <w:p w14:paraId="1502B67A">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7609" w:type="dxa"/>
            <w:vAlign w:val="center"/>
          </w:tcPr>
          <w:p w14:paraId="0C5F4B86">
            <w:pPr>
              <w:spacing w:line="240" w:lineRule="auto"/>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文件名称</w:t>
            </w:r>
          </w:p>
        </w:tc>
      </w:tr>
      <w:tr w14:paraId="593FBF57">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6" w:hRule="atLeast"/>
          <w:jc w:val="center"/>
        </w:trPr>
        <w:tc>
          <w:tcPr>
            <w:tcW w:w="997" w:type="dxa"/>
            <w:vAlign w:val="center"/>
          </w:tcPr>
          <w:p w14:paraId="483C9781">
            <w:pPr>
              <w:keepNext/>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1</w:t>
            </w:r>
          </w:p>
        </w:tc>
        <w:tc>
          <w:tcPr>
            <w:tcW w:w="7609" w:type="dxa"/>
            <w:vAlign w:val="center"/>
          </w:tcPr>
          <w:p w14:paraId="40D1D895">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企业简介</w:t>
            </w:r>
          </w:p>
        </w:tc>
      </w:tr>
      <w:tr w14:paraId="36683AA3">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6" w:hRule="atLeast"/>
          <w:jc w:val="center"/>
        </w:trPr>
        <w:tc>
          <w:tcPr>
            <w:tcW w:w="997" w:type="dxa"/>
            <w:vAlign w:val="center"/>
          </w:tcPr>
          <w:p w14:paraId="737EB56D">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2</w:t>
            </w:r>
          </w:p>
        </w:tc>
        <w:tc>
          <w:tcPr>
            <w:tcW w:w="7609" w:type="dxa"/>
            <w:vAlign w:val="center"/>
          </w:tcPr>
          <w:p w14:paraId="0BD1D9C4">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营业执照</w:t>
            </w:r>
          </w:p>
        </w:tc>
      </w:tr>
      <w:tr w14:paraId="48A3BBF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6" w:hRule="atLeast"/>
          <w:jc w:val="center"/>
        </w:trPr>
        <w:tc>
          <w:tcPr>
            <w:tcW w:w="997" w:type="dxa"/>
            <w:vAlign w:val="center"/>
          </w:tcPr>
          <w:p w14:paraId="6A660415">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3</w:t>
            </w:r>
          </w:p>
        </w:tc>
        <w:tc>
          <w:tcPr>
            <w:tcW w:w="7609" w:type="dxa"/>
            <w:vAlign w:val="center"/>
          </w:tcPr>
          <w:p w14:paraId="6F461AEE">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组织机构图</w:t>
            </w:r>
          </w:p>
        </w:tc>
      </w:tr>
      <w:tr w14:paraId="7002214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86" w:hRule="atLeast"/>
          <w:jc w:val="center"/>
        </w:trPr>
        <w:tc>
          <w:tcPr>
            <w:tcW w:w="997" w:type="dxa"/>
            <w:vAlign w:val="center"/>
          </w:tcPr>
          <w:p w14:paraId="65D92D0D">
            <w:pPr>
              <w:spacing w:line="240" w:lineRule="auto"/>
              <w:ind w:firstLine="0" w:firstLineChars="0"/>
              <w:jc w:val="center"/>
              <w:rPr>
                <w:rFonts w:hint="eastAsia" w:ascii="仿宋" w:hAnsi="仿宋" w:eastAsia="仿宋" w:cs="仿宋"/>
                <w:sz w:val="24"/>
                <w:szCs w:val="24"/>
              </w:rPr>
            </w:pPr>
            <w:bookmarkStart w:id="490" w:name="_Ref366145239"/>
            <w:r>
              <w:rPr>
                <w:rFonts w:hint="eastAsia" w:ascii="仿宋" w:hAnsi="仿宋" w:eastAsia="仿宋" w:cs="仿宋"/>
                <w:sz w:val="24"/>
                <w:szCs w:val="24"/>
              </w:rPr>
              <w:t>4</w:t>
            </w:r>
          </w:p>
          <w:bookmarkEnd w:id="490"/>
        </w:tc>
        <w:tc>
          <w:tcPr>
            <w:tcW w:w="7609" w:type="dxa"/>
            <w:vAlign w:val="center"/>
          </w:tcPr>
          <w:p w14:paraId="4D2924AA">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企业基本信息表</w:t>
            </w:r>
          </w:p>
        </w:tc>
      </w:tr>
      <w:tr w14:paraId="05A63D2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86" w:hRule="atLeast"/>
          <w:jc w:val="center"/>
        </w:trPr>
        <w:tc>
          <w:tcPr>
            <w:tcW w:w="997" w:type="dxa"/>
            <w:vAlign w:val="center"/>
          </w:tcPr>
          <w:p w14:paraId="257FE377">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5</w:t>
            </w:r>
          </w:p>
        </w:tc>
        <w:tc>
          <w:tcPr>
            <w:tcW w:w="7609" w:type="dxa"/>
            <w:vAlign w:val="center"/>
          </w:tcPr>
          <w:p w14:paraId="3BE66A39">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《能源统计》</w:t>
            </w:r>
          </w:p>
        </w:tc>
      </w:tr>
      <w:tr w14:paraId="16594E3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86" w:hRule="atLeast"/>
          <w:jc w:val="center"/>
        </w:trPr>
        <w:tc>
          <w:tcPr>
            <w:tcW w:w="997" w:type="dxa"/>
            <w:vAlign w:val="center"/>
          </w:tcPr>
          <w:p w14:paraId="1030979D">
            <w:pPr>
              <w:spacing w:line="240" w:lineRule="auto"/>
              <w:ind w:firstLine="0" w:firstLineChars="0"/>
              <w:jc w:val="center"/>
              <w:rPr>
                <w:rFonts w:hint="eastAsia" w:ascii="仿宋" w:hAnsi="仿宋" w:eastAsia="仿宋" w:cs="仿宋"/>
                <w:sz w:val="24"/>
                <w:szCs w:val="24"/>
              </w:rPr>
            </w:pPr>
            <w:bookmarkStart w:id="491" w:name="_Ref366145075"/>
            <w:r>
              <w:rPr>
                <w:rFonts w:hint="eastAsia" w:ascii="仿宋" w:hAnsi="仿宋" w:eastAsia="仿宋" w:cs="仿宋"/>
                <w:sz w:val="24"/>
                <w:szCs w:val="24"/>
              </w:rPr>
              <w:t>6</w:t>
            </w:r>
          </w:p>
          <w:bookmarkEnd w:id="491"/>
        </w:tc>
        <w:tc>
          <w:tcPr>
            <w:tcW w:w="7609" w:type="dxa"/>
            <w:vAlign w:val="center"/>
          </w:tcPr>
          <w:p w14:paraId="5A467AB2">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主要耗能设备清单</w:t>
            </w:r>
          </w:p>
        </w:tc>
      </w:tr>
      <w:tr w14:paraId="1C84A175">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86" w:hRule="atLeast"/>
          <w:jc w:val="center"/>
        </w:trPr>
        <w:tc>
          <w:tcPr>
            <w:tcW w:w="997" w:type="dxa"/>
            <w:vAlign w:val="center"/>
          </w:tcPr>
          <w:p w14:paraId="7BA6801B">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7</w:t>
            </w:r>
          </w:p>
        </w:tc>
        <w:tc>
          <w:tcPr>
            <w:tcW w:w="7609" w:type="dxa"/>
            <w:vAlign w:val="center"/>
          </w:tcPr>
          <w:p w14:paraId="293D5C7E">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能源计量器具台账</w:t>
            </w:r>
          </w:p>
        </w:tc>
      </w:tr>
      <w:tr w14:paraId="79C787D8">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86" w:hRule="atLeast"/>
          <w:jc w:val="center"/>
        </w:trPr>
        <w:tc>
          <w:tcPr>
            <w:tcW w:w="997" w:type="dxa"/>
            <w:vAlign w:val="center"/>
          </w:tcPr>
          <w:p w14:paraId="7BE7BDFC">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8</w:t>
            </w:r>
          </w:p>
        </w:tc>
        <w:tc>
          <w:tcPr>
            <w:tcW w:w="7609" w:type="dxa"/>
            <w:vAlign w:val="center"/>
          </w:tcPr>
          <w:p w14:paraId="659E4BE9">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工艺流程</w:t>
            </w:r>
          </w:p>
        </w:tc>
      </w:tr>
      <w:tr w14:paraId="72586948">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86" w:hRule="atLeast"/>
          <w:jc w:val="center"/>
        </w:trPr>
        <w:tc>
          <w:tcPr>
            <w:tcW w:w="997" w:type="dxa"/>
            <w:vAlign w:val="center"/>
          </w:tcPr>
          <w:p w14:paraId="734776BA">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9</w:t>
            </w:r>
          </w:p>
        </w:tc>
        <w:tc>
          <w:tcPr>
            <w:tcW w:w="7609" w:type="dxa"/>
            <w:vAlign w:val="center"/>
          </w:tcPr>
          <w:p w14:paraId="4D4E1996">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近三年能耗统计</w:t>
            </w:r>
          </w:p>
        </w:tc>
      </w:tr>
      <w:tr w14:paraId="6F858E83">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86" w:hRule="atLeast"/>
          <w:jc w:val="center"/>
        </w:trPr>
        <w:tc>
          <w:tcPr>
            <w:tcW w:w="997" w:type="dxa"/>
            <w:vAlign w:val="center"/>
          </w:tcPr>
          <w:p w14:paraId="423E5296">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10</w:t>
            </w:r>
          </w:p>
        </w:tc>
        <w:tc>
          <w:tcPr>
            <w:tcW w:w="7609" w:type="dxa"/>
            <w:vAlign w:val="center"/>
          </w:tcPr>
          <w:p w14:paraId="142BD674">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近三年各产品产量、年度总产值</w:t>
            </w:r>
          </w:p>
        </w:tc>
      </w:tr>
      <w:tr w14:paraId="15FE2E46">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86" w:hRule="atLeast"/>
          <w:jc w:val="center"/>
        </w:trPr>
        <w:tc>
          <w:tcPr>
            <w:tcW w:w="997" w:type="dxa"/>
            <w:vAlign w:val="center"/>
          </w:tcPr>
          <w:p w14:paraId="32043D27">
            <w:pPr>
              <w:spacing w:line="24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11</w:t>
            </w:r>
          </w:p>
        </w:tc>
        <w:tc>
          <w:tcPr>
            <w:tcW w:w="7609" w:type="dxa"/>
            <w:vAlign w:val="center"/>
          </w:tcPr>
          <w:p w14:paraId="40C348EB">
            <w:pPr>
              <w:pStyle w:val="20"/>
              <w:snapToGrid/>
              <w:spacing w:line="240" w:lineRule="auto"/>
              <w:ind w:firstLine="0" w:firstLineChars="0"/>
              <w:jc w:val="both"/>
              <w:rPr>
                <w:rFonts w:hint="eastAsia" w:ascii="仿宋" w:hAnsi="仿宋" w:eastAsia="仿宋" w:cs="仿宋"/>
                <w:snapToGrid w:val="0"/>
                <w:sz w:val="24"/>
                <w:szCs w:val="24"/>
              </w:rPr>
            </w:pPr>
            <w:r>
              <w:rPr>
                <w:rFonts w:hint="eastAsia" w:ascii="仿宋" w:hAnsi="仿宋" w:eastAsia="仿宋" w:cs="仿宋"/>
                <w:snapToGrid w:val="0"/>
                <w:sz w:val="24"/>
                <w:szCs w:val="24"/>
              </w:rPr>
              <w:t>能源购进、消费与库存</w:t>
            </w:r>
          </w:p>
        </w:tc>
      </w:tr>
    </w:tbl>
    <w:p w14:paraId="4C39166C">
      <w:pPr>
        <w:ind w:firstLine="0" w:firstLineChars="0"/>
        <w:rPr>
          <w:rFonts w:hint="eastAsia" w:ascii="仿宋" w:hAnsi="仿宋" w:eastAsia="仿宋" w:cs="仿宋"/>
          <w:szCs w:val="28"/>
        </w:rPr>
      </w:pPr>
    </w:p>
    <w:p w14:paraId="450C9C50">
      <w:pPr>
        <w:rPr>
          <w:rFonts w:hint="eastAsia" w:ascii="仿宋" w:hAnsi="仿宋" w:eastAsia="仿宋" w:cs="仿宋"/>
        </w:rPr>
      </w:pPr>
    </w:p>
    <w:p w14:paraId="6A4DDFBF">
      <w:pPr>
        <w:pStyle w:val="10"/>
        <w:rPr>
          <w:rFonts w:hint="eastAsia" w:ascii="仿宋" w:hAnsi="仿宋" w:eastAsia="仿宋" w:cs="仿宋"/>
        </w:rPr>
      </w:pPr>
    </w:p>
    <w:p w14:paraId="4FC5D4A1">
      <w:pPr>
        <w:pStyle w:val="10"/>
        <w:rPr>
          <w:rFonts w:hint="eastAsia" w:ascii="仿宋" w:hAnsi="仿宋" w:eastAsia="仿宋" w:cs="仿宋"/>
        </w:rPr>
      </w:pPr>
    </w:p>
    <w:p w14:paraId="2DEF9EFE">
      <w:pPr>
        <w:pStyle w:val="10"/>
        <w:rPr>
          <w:rFonts w:hint="eastAsia" w:ascii="仿宋" w:hAnsi="仿宋" w:eastAsia="仿宋" w:cs="仿宋"/>
        </w:rPr>
      </w:pPr>
    </w:p>
    <w:p w14:paraId="0863F8C3">
      <w:pPr>
        <w:pStyle w:val="10"/>
        <w:rPr>
          <w:rFonts w:hint="eastAsia" w:ascii="仿宋" w:hAnsi="仿宋" w:eastAsia="仿宋" w:cs="仿宋"/>
        </w:rPr>
      </w:pPr>
    </w:p>
    <w:p w14:paraId="42C242DA">
      <w:pPr>
        <w:pStyle w:val="10"/>
        <w:rPr>
          <w:rFonts w:hint="eastAsia" w:ascii="仿宋" w:hAnsi="仿宋" w:eastAsia="仿宋" w:cs="仿宋"/>
        </w:rPr>
      </w:pPr>
    </w:p>
    <w:p w14:paraId="78CE85C1">
      <w:pPr>
        <w:rPr>
          <w:rFonts w:hint="eastAsia" w:ascii="仿宋" w:hAnsi="仿宋" w:eastAsia="仿宋" w:cs="仿宋"/>
        </w:rPr>
      </w:pPr>
    </w:p>
    <w:p w14:paraId="507E7BDC">
      <w:pPr>
        <w:rPr>
          <w:rFonts w:hint="eastAsia" w:ascii="仿宋" w:hAnsi="仿宋" w:eastAsia="仿宋" w:cs="仿宋"/>
        </w:rPr>
      </w:pPr>
    </w:p>
    <w:sectPr>
      <w:headerReference r:id="rId19" w:type="default"/>
      <w:footerReference r:id="rId20" w:type="default"/>
      <w:pgSz w:w="11906" w:h="16838"/>
      <w:pgMar w:top="1440" w:right="1797" w:bottom="1440" w:left="1797" w:header="851" w:footer="851" w:gutter="0"/>
      <w:cols w:space="720" w:num="1"/>
      <w:docGrid w:type="lines" w:linePitch="38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FBCC1">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9120D">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10251">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3376D">
    <w:pPr>
      <w:pStyle w:val="16"/>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EADDD">
    <w:pPr>
      <w:pStyle w:val="16"/>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43535" cy="0"/>
              <wp:effectExtent l="0" t="0" r="0" b="0"/>
              <wp:wrapNone/>
              <wp:docPr id="4" name="文本框 1"/>
              <wp:cNvGraphicFramePr/>
              <a:graphic xmlns:a="http://schemas.openxmlformats.org/drawingml/2006/main">
                <a:graphicData uri="http://schemas.microsoft.com/office/word/2010/wordprocessingShape">
                  <wps:wsp>
                    <wps:cNvSpPr txBox="1"/>
                    <wps:spPr>
                      <a:xfrm>
                        <a:off x="0" y="0"/>
                        <a:ext cx="343535" cy="0"/>
                      </a:xfrm>
                      <a:prstGeom prst="rect">
                        <a:avLst/>
                      </a:prstGeom>
                      <a:noFill/>
                      <a:ln w="15875">
                        <a:noFill/>
                      </a:ln>
                    </wps:spPr>
                    <wps:txbx>
                      <w:txbxContent>
                        <w:p w14:paraId="60283144">
                          <w:pPr>
                            <w:pStyle w:val="16"/>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0pt;width:27.05pt;mso-position-horizontal:center;mso-position-horizontal-relative:margin;mso-wrap-style:none;z-index:251659264;mso-width-relative:page;mso-height-relative:page;" filled="f" stroked="f" coordsize="21600,21600" o:gfxdata="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C5ctKPSAAAAAQEAAA8AAAAAAAAAAQAgAAAAIgAAAGRy&#10;cy9kb3ducmV2LnhtbFBLAQIUABQAAAAIAIdO4kAAsmNf0gEAAJwDAAAOAAAAAAAAAAEAIAAAACEB&#10;AABkcnMvZTJvRG9jLnhtbFBLBQYAAAAABgAGAFkBAABlBQAAAAA=&#10;">
              <v:fill on="f" focussize="0,0"/>
              <v:stroke on="f" weight="1.25pt"/>
              <v:imagedata o:title=""/>
              <o:lock v:ext="edit" aspectratio="f"/>
              <v:textbox inset="0mm,0mm,0mm,0mm" style="mso-fit-shape-to-text:t;">
                <w:txbxContent>
                  <w:p w14:paraId="60283144">
                    <w:pPr>
                      <w:pStyle w:val="16"/>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0DFE8">
    <w:pPr>
      <w:pStyle w:val="16"/>
      <w:ind w:firstLine="360"/>
      <w:jc w:val="center"/>
    </w:pPr>
    <w:r>
      <w:fldChar w:fldCharType="begin"/>
    </w:r>
    <w:r>
      <w:instrText xml:space="preserve">PAGE   \* MERGEFORMAT</w:instrText>
    </w:r>
    <w:r>
      <w:fldChar w:fldCharType="separate"/>
    </w:r>
    <w:r>
      <w:rPr>
        <w:lang w:val="zh-CN"/>
      </w:rPr>
      <w:t>14</w:t>
    </w:r>
    <w:r>
      <w:rPr>
        <w:lang w:val="zh-CN"/>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849BC">
    <w:pPr>
      <w:pStyle w:val="16"/>
      <w:tabs>
        <w:tab w:val="center" w:pos="4150"/>
        <w:tab w:val="clear" w:pos="4153"/>
      </w:tabs>
      <w:ind w:firstLine="360"/>
      <w:jc w:val="center"/>
    </w:pPr>
    <w:r>
      <w:fldChar w:fldCharType="begin"/>
    </w:r>
    <w:r>
      <w:instrText xml:space="preserve">PAGE   \* MERGEFORMAT</w:instrText>
    </w:r>
    <w:r>
      <w:fldChar w:fldCharType="separate"/>
    </w:r>
    <w:r>
      <w:rPr>
        <w:lang w:val="zh-CN"/>
      </w:rPr>
      <w:t>27</w:t>
    </w:r>
    <w:r>
      <w:rPr>
        <w:lang w:val="zh-CN"/>
      </w:rPr>
      <w:fldChar w:fldCharType="end"/>
    </w:r>
  </w:p>
  <w:p w14:paraId="7C2CAF4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51B1D">
    <w:pPr>
      <w:pStyle w:val="17"/>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00178">
    <w:pPr>
      <w:pStyle w:val="1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E457C8">
    <w:pPr>
      <w:pStyle w:val="1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F5039">
    <w:pPr>
      <w:pStyle w:val="17"/>
      <w:pBdr>
        <w:bottom w:val="single" w:color="auto" w:sz="4" w:space="1"/>
      </w:pBdr>
      <w:ind w:firstLine="0" w:firstLineChars="0"/>
      <w:jc w:val="left"/>
      <w:rPr>
        <w:rFonts w:hint="eastAsia"/>
        <w:sz w:val="21"/>
        <w:szCs w:val="22"/>
      </w:rPr>
    </w:pPr>
    <w:r>
      <w:rPr>
        <w:rFonts w:hint="default" w:ascii="Times New Roman" w:hAnsi="Times New Roman" w:eastAsia="仿宋" w:cs="Times New Roman"/>
        <w:sz w:val="21"/>
        <w:szCs w:val="21"/>
        <w:highlight w:val="none"/>
      </w:rPr>
      <w:t>郯城众一科环化工有限公司</w:t>
    </w:r>
    <w:r>
      <w:rPr>
        <w:rFonts w:hint="eastAsia" w:eastAsia="仿宋"/>
        <w:sz w:val="21"/>
        <w:szCs w:val="22"/>
      </w:rPr>
      <w:t>2</w:t>
    </w:r>
    <w:r>
      <w:rPr>
        <w:rFonts w:eastAsia="仿宋"/>
        <w:sz w:val="21"/>
        <w:szCs w:val="22"/>
      </w:rPr>
      <w:t>0</w:t>
    </w:r>
    <w:r>
      <w:rPr>
        <w:rFonts w:hint="eastAsia" w:eastAsia="仿宋"/>
        <w:sz w:val="21"/>
        <w:szCs w:val="22"/>
      </w:rPr>
      <w:t>23年度</w:t>
    </w:r>
    <w:r>
      <w:rPr>
        <w:rFonts w:eastAsia="仿宋"/>
        <w:sz w:val="21"/>
        <w:szCs w:val="22"/>
      </w:rPr>
      <w:t>温室气体排放核查报告</w:t>
    </w:r>
    <w:r>
      <w:rPr>
        <w:rFonts w:hint="eastAsia"/>
        <w:sz w:val="21"/>
        <w:szCs w:val="22"/>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A722F">
    <w:pPr>
      <w:pStyle w:val="17"/>
      <w:pBdr>
        <w:bottom w:val="single" w:color="auto" w:sz="4" w:space="1"/>
      </w:pBdr>
      <w:ind w:firstLine="0" w:firstLineChars="0"/>
      <w:jc w:val="left"/>
    </w:pPr>
    <w:r>
      <w:rPr>
        <w:rFonts w:hint="default" w:ascii="Times New Roman" w:hAnsi="Times New Roman" w:eastAsia="仿宋" w:cs="Times New Roman"/>
        <w:sz w:val="21"/>
        <w:szCs w:val="21"/>
        <w:highlight w:val="none"/>
      </w:rPr>
      <w:t>郯城众一科环化工有限公司</w:t>
    </w:r>
    <w:r>
      <w:rPr>
        <w:rFonts w:hint="eastAsia" w:eastAsia="仿宋"/>
        <w:sz w:val="21"/>
        <w:szCs w:val="22"/>
      </w:rPr>
      <w:t>2</w:t>
    </w:r>
    <w:r>
      <w:rPr>
        <w:rFonts w:eastAsia="仿宋"/>
        <w:sz w:val="21"/>
        <w:szCs w:val="22"/>
      </w:rPr>
      <w:t>0</w:t>
    </w:r>
    <w:r>
      <w:rPr>
        <w:rFonts w:hint="eastAsia" w:eastAsia="仿宋"/>
        <w:sz w:val="21"/>
        <w:szCs w:val="22"/>
      </w:rPr>
      <w:t>23年度</w:t>
    </w:r>
    <w:r>
      <w:rPr>
        <w:rFonts w:eastAsia="仿宋"/>
        <w:sz w:val="21"/>
        <w:szCs w:val="22"/>
      </w:rPr>
      <w:t>温室气体排放核查报告</w:t>
    </w:r>
    <w:r>
      <w:rPr>
        <w:sz w:val="21"/>
        <w:szCs w:val="22"/>
      </w:rPr>
      <w:t xml:space="preserve"> </w:t>
    </w:r>
    <w:r>
      <w:rPr>
        <w:rFonts w:hint="eastAsia"/>
        <w:sz w:val="21"/>
        <w:szCs w:val="22"/>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C67E7">
    <w:pPr>
      <w:pStyle w:val="17"/>
      <w:pBdr>
        <w:bottom w:val="single" w:color="auto" w:sz="4" w:space="1"/>
      </w:pBdr>
      <w:ind w:firstLine="0" w:firstLineChars="0"/>
      <w:jc w:val="left"/>
      <w:rPr>
        <w:rFonts w:eastAsia="仿宋"/>
        <w:sz w:val="21"/>
        <w:szCs w:val="22"/>
      </w:rPr>
    </w:pPr>
    <w:r>
      <w:rPr>
        <w:rFonts w:hint="default" w:ascii="Times New Roman" w:hAnsi="Times New Roman" w:eastAsia="仿宋" w:cs="Times New Roman"/>
        <w:sz w:val="21"/>
        <w:szCs w:val="21"/>
        <w:highlight w:val="none"/>
      </w:rPr>
      <w:t>郯城众一科环化工有限公司</w:t>
    </w:r>
    <w:r>
      <w:rPr>
        <w:rFonts w:hint="eastAsia" w:eastAsia="仿宋"/>
        <w:sz w:val="21"/>
        <w:szCs w:val="22"/>
      </w:rPr>
      <w:t>2</w:t>
    </w:r>
    <w:r>
      <w:rPr>
        <w:rFonts w:eastAsia="仿宋"/>
        <w:sz w:val="21"/>
        <w:szCs w:val="22"/>
      </w:rPr>
      <w:t>0</w:t>
    </w:r>
    <w:r>
      <w:rPr>
        <w:rFonts w:hint="eastAsia" w:eastAsia="仿宋"/>
        <w:sz w:val="21"/>
        <w:szCs w:val="22"/>
      </w:rPr>
      <w:t>23年度温室气体排放核查报告</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E832C">
    <w:pPr>
      <w:pStyle w:val="17"/>
      <w:pBdr>
        <w:left w:val="none" w:color="auto" w:sz="0" w:space="1"/>
        <w:bottom w:val="single" w:color="auto" w:sz="4" w:space="1"/>
      </w:pBdr>
      <w:ind w:firstLine="0" w:firstLineChars="0"/>
      <w:jc w:val="left"/>
      <w:rPr>
        <w:rFonts w:eastAsia="仿宋"/>
      </w:rPr>
    </w:pPr>
    <w:r>
      <w:rPr>
        <w:rFonts w:hint="default" w:ascii="Times New Roman" w:hAnsi="Times New Roman" w:eastAsia="仿宋" w:cs="Times New Roman"/>
        <w:sz w:val="21"/>
        <w:szCs w:val="21"/>
        <w:highlight w:val="none"/>
      </w:rPr>
      <w:t>郯城众一科环化工有限公司</w:t>
    </w:r>
    <w:r>
      <w:rPr>
        <w:rFonts w:hint="eastAsia" w:eastAsia="仿宋"/>
        <w:sz w:val="21"/>
        <w:szCs w:val="22"/>
      </w:rPr>
      <w:t>2</w:t>
    </w:r>
    <w:r>
      <w:rPr>
        <w:rFonts w:eastAsia="仿宋"/>
        <w:sz w:val="21"/>
        <w:szCs w:val="22"/>
      </w:rPr>
      <w:t>0</w:t>
    </w:r>
    <w:r>
      <w:rPr>
        <w:rFonts w:hint="eastAsia" w:eastAsia="仿宋"/>
        <w:sz w:val="21"/>
        <w:szCs w:val="22"/>
      </w:rPr>
      <w:t>23年度</w:t>
    </w:r>
    <w:r>
      <w:rPr>
        <w:rFonts w:eastAsia="仿宋"/>
        <w:sz w:val="21"/>
        <w:szCs w:val="22"/>
      </w:rPr>
      <w:t>温室气体排放核查报告</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6BE114">
    <w:pPr>
      <w:pStyle w:val="17"/>
      <w:pBdr>
        <w:bottom w:val="single" w:color="auto" w:sz="4" w:space="1"/>
      </w:pBdr>
      <w:tabs>
        <w:tab w:val="right" w:pos="13958"/>
      </w:tabs>
      <w:ind w:firstLine="0" w:firstLineChars="0"/>
      <w:jc w:val="left"/>
      <w:rPr>
        <w:rFonts w:eastAsia="仿宋"/>
        <w:sz w:val="21"/>
        <w:szCs w:val="21"/>
      </w:rPr>
    </w:pPr>
    <w:r>
      <w:rPr>
        <w:rFonts w:hint="default" w:ascii="Times New Roman" w:hAnsi="Times New Roman" w:eastAsia="仿宋" w:cs="Times New Roman"/>
        <w:sz w:val="21"/>
        <w:szCs w:val="21"/>
        <w:highlight w:val="none"/>
      </w:rPr>
      <w:t>郯城众一科环化工有限公司</w:t>
    </w:r>
    <w:r>
      <w:rPr>
        <w:rFonts w:hint="eastAsia" w:eastAsia="仿宋"/>
        <w:sz w:val="21"/>
        <w:szCs w:val="22"/>
      </w:rPr>
      <w:t>2</w:t>
    </w:r>
    <w:r>
      <w:rPr>
        <w:rFonts w:eastAsia="仿宋"/>
        <w:sz w:val="21"/>
        <w:szCs w:val="22"/>
      </w:rPr>
      <w:t>0</w:t>
    </w:r>
    <w:r>
      <w:rPr>
        <w:rFonts w:hint="eastAsia" w:eastAsia="仿宋"/>
        <w:sz w:val="21"/>
        <w:szCs w:val="22"/>
      </w:rPr>
      <w:t>23</w:t>
    </w:r>
    <w:r>
      <w:rPr>
        <w:rFonts w:hint="eastAsia" w:eastAsia="仿宋"/>
        <w:sz w:val="21"/>
        <w:szCs w:val="21"/>
      </w:rPr>
      <w:t>年度</w:t>
    </w:r>
    <w:r>
      <w:rPr>
        <w:rFonts w:eastAsia="仿宋"/>
        <w:sz w:val="21"/>
        <w:szCs w:val="21"/>
      </w:rPr>
      <w:t>温室气体排放核查报告</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890036">
    <w:pPr>
      <w:pStyle w:val="17"/>
      <w:pBdr>
        <w:bottom w:val="single" w:color="auto" w:sz="4" w:space="1"/>
      </w:pBdr>
      <w:ind w:firstLine="0" w:firstLineChars="0"/>
      <w:jc w:val="left"/>
    </w:pPr>
    <w:r>
      <w:rPr>
        <w:rFonts w:hint="default" w:ascii="Times New Roman" w:hAnsi="Times New Roman" w:eastAsia="仿宋" w:cs="Times New Roman"/>
        <w:sz w:val="21"/>
        <w:szCs w:val="21"/>
        <w:highlight w:val="none"/>
      </w:rPr>
      <w:t>郯城众一科环化工有限公司</w:t>
    </w:r>
    <w:r>
      <w:rPr>
        <w:rFonts w:hint="eastAsia" w:eastAsia="仿宋"/>
        <w:sz w:val="21"/>
        <w:szCs w:val="22"/>
      </w:rPr>
      <w:t>2</w:t>
    </w:r>
    <w:r>
      <w:rPr>
        <w:rFonts w:eastAsia="仿宋"/>
        <w:sz w:val="21"/>
        <w:szCs w:val="22"/>
      </w:rPr>
      <w:t>0</w:t>
    </w:r>
    <w:r>
      <w:rPr>
        <w:rFonts w:hint="eastAsia" w:eastAsia="仿宋"/>
        <w:sz w:val="21"/>
        <w:szCs w:val="22"/>
      </w:rPr>
      <w:t>23年度</w:t>
    </w:r>
    <w:r>
      <w:rPr>
        <w:rFonts w:eastAsia="仿宋"/>
        <w:sz w:val="21"/>
        <w:szCs w:val="22"/>
      </w:rPr>
      <w:t>温室气体排放核查报告</w:t>
    </w:r>
    <w:r>
      <w:rPr>
        <w:rFonts w:hint="eastAsia"/>
        <w:sz w:val="21"/>
        <w:szCs w:val="2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CE6FE3"/>
    <w:multiLevelType w:val="multilevel"/>
    <w:tmpl w:val="34CE6FE3"/>
    <w:lvl w:ilvl="0" w:tentative="0">
      <w:start w:val="1"/>
      <w:numFmt w:val="bullet"/>
      <w:lvlText w:val="—"/>
      <w:lvlJc w:val="left"/>
      <w:pPr>
        <w:ind w:left="360" w:hanging="360"/>
      </w:pPr>
      <w:rPr>
        <w:rFonts w:hint="default" w:ascii="Times New Roman" w:hAnsi="Times New Roman" w:eastAsia="仿宋"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kYTMwOGFmYTAwNjdhNjliY2ViNDI3YWYyNjI3ZWQifQ=="/>
  </w:docVars>
  <w:rsids>
    <w:rsidRoot w:val="00172A27"/>
    <w:rsid w:val="00002720"/>
    <w:rsid w:val="00002BE9"/>
    <w:rsid w:val="0000354D"/>
    <w:rsid w:val="00003B28"/>
    <w:rsid w:val="00003C37"/>
    <w:rsid w:val="000045A1"/>
    <w:rsid w:val="00006CF6"/>
    <w:rsid w:val="00010A87"/>
    <w:rsid w:val="000114CC"/>
    <w:rsid w:val="00011F23"/>
    <w:rsid w:val="00012BC4"/>
    <w:rsid w:val="00013DBF"/>
    <w:rsid w:val="00017526"/>
    <w:rsid w:val="00017BE1"/>
    <w:rsid w:val="00020318"/>
    <w:rsid w:val="00020DE2"/>
    <w:rsid w:val="000223D8"/>
    <w:rsid w:val="0002698F"/>
    <w:rsid w:val="00030685"/>
    <w:rsid w:val="0003397A"/>
    <w:rsid w:val="000369F2"/>
    <w:rsid w:val="00044C14"/>
    <w:rsid w:val="000453F6"/>
    <w:rsid w:val="00047349"/>
    <w:rsid w:val="000525B7"/>
    <w:rsid w:val="00052E2E"/>
    <w:rsid w:val="00055C6B"/>
    <w:rsid w:val="0006397A"/>
    <w:rsid w:val="000644AB"/>
    <w:rsid w:val="00066492"/>
    <w:rsid w:val="00067644"/>
    <w:rsid w:val="00077019"/>
    <w:rsid w:val="00085C3B"/>
    <w:rsid w:val="00085F31"/>
    <w:rsid w:val="00086124"/>
    <w:rsid w:val="00092E9B"/>
    <w:rsid w:val="00093F20"/>
    <w:rsid w:val="000966B0"/>
    <w:rsid w:val="0009709A"/>
    <w:rsid w:val="000A0B83"/>
    <w:rsid w:val="000A0CF9"/>
    <w:rsid w:val="000B0856"/>
    <w:rsid w:val="000B2BD2"/>
    <w:rsid w:val="000B66C7"/>
    <w:rsid w:val="000C299D"/>
    <w:rsid w:val="000C3B41"/>
    <w:rsid w:val="000C542A"/>
    <w:rsid w:val="000C70A2"/>
    <w:rsid w:val="000D0D01"/>
    <w:rsid w:val="000D5DFB"/>
    <w:rsid w:val="000D64F9"/>
    <w:rsid w:val="000D72D7"/>
    <w:rsid w:val="000D7686"/>
    <w:rsid w:val="000E0234"/>
    <w:rsid w:val="000E063C"/>
    <w:rsid w:val="000E0AD9"/>
    <w:rsid w:val="000E120F"/>
    <w:rsid w:val="000E435C"/>
    <w:rsid w:val="000F05EC"/>
    <w:rsid w:val="000F0990"/>
    <w:rsid w:val="000F0D4A"/>
    <w:rsid w:val="000F1116"/>
    <w:rsid w:val="000F3978"/>
    <w:rsid w:val="000F60DE"/>
    <w:rsid w:val="000F62FC"/>
    <w:rsid w:val="000F6641"/>
    <w:rsid w:val="000F76B7"/>
    <w:rsid w:val="000F7B40"/>
    <w:rsid w:val="00102B7A"/>
    <w:rsid w:val="00103712"/>
    <w:rsid w:val="0010630B"/>
    <w:rsid w:val="001130B5"/>
    <w:rsid w:val="001152DB"/>
    <w:rsid w:val="00116200"/>
    <w:rsid w:val="00120FDE"/>
    <w:rsid w:val="00121193"/>
    <w:rsid w:val="00122B13"/>
    <w:rsid w:val="00127390"/>
    <w:rsid w:val="00131CC5"/>
    <w:rsid w:val="001332E0"/>
    <w:rsid w:val="00135326"/>
    <w:rsid w:val="001407D3"/>
    <w:rsid w:val="0014210A"/>
    <w:rsid w:val="00142B53"/>
    <w:rsid w:val="001466A1"/>
    <w:rsid w:val="00147F62"/>
    <w:rsid w:val="0015045A"/>
    <w:rsid w:val="00157500"/>
    <w:rsid w:val="00161662"/>
    <w:rsid w:val="001664A7"/>
    <w:rsid w:val="00171C6E"/>
    <w:rsid w:val="00172143"/>
    <w:rsid w:val="00172918"/>
    <w:rsid w:val="00172A27"/>
    <w:rsid w:val="001753E2"/>
    <w:rsid w:val="0018060D"/>
    <w:rsid w:val="0018384B"/>
    <w:rsid w:val="00183B3F"/>
    <w:rsid w:val="00187088"/>
    <w:rsid w:val="00190012"/>
    <w:rsid w:val="0019007A"/>
    <w:rsid w:val="00193279"/>
    <w:rsid w:val="001958B3"/>
    <w:rsid w:val="00196CAB"/>
    <w:rsid w:val="00197386"/>
    <w:rsid w:val="00197EDA"/>
    <w:rsid w:val="001A1B91"/>
    <w:rsid w:val="001A2217"/>
    <w:rsid w:val="001A41BF"/>
    <w:rsid w:val="001A4A0D"/>
    <w:rsid w:val="001A55AF"/>
    <w:rsid w:val="001B07A5"/>
    <w:rsid w:val="001B0C95"/>
    <w:rsid w:val="001B32C3"/>
    <w:rsid w:val="001B4D7C"/>
    <w:rsid w:val="001B6B7E"/>
    <w:rsid w:val="001C1017"/>
    <w:rsid w:val="001C574D"/>
    <w:rsid w:val="001C697A"/>
    <w:rsid w:val="001C722F"/>
    <w:rsid w:val="001D0891"/>
    <w:rsid w:val="001D1449"/>
    <w:rsid w:val="001D50BC"/>
    <w:rsid w:val="001E0488"/>
    <w:rsid w:val="001E0C0B"/>
    <w:rsid w:val="001E228F"/>
    <w:rsid w:val="001E3587"/>
    <w:rsid w:val="001E4A07"/>
    <w:rsid w:val="001E5961"/>
    <w:rsid w:val="001F0036"/>
    <w:rsid w:val="001F2A7E"/>
    <w:rsid w:val="001F2BFD"/>
    <w:rsid w:val="001F54F8"/>
    <w:rsid w:val="001F5E96"/>
    <w:rsid w:val="002013BB"/>
    <w:rsid w:val="00201495"/>
    <w:rsid w:val="0020160B"/>
    <w:rsid w:val="0020617A"/>
    <w:rsid w:val="002108A0"/>
    <w:rsid w:val="002117CA"/>
    <w:rsid w:val="002129EA"/>
    <w:rsid w:val="002137F2"/>
    <w:rsid w:val="00213B5F"/>
    <w:rsid w:val="00222975"/>
    <w:rsid w:val="00222C9E"/>
    <w:rsid w:val="00224CB2"/>
    <w:rsid w:val="00225689"/>
    <w:rsid w:val="0022640D"/>
    <w:rsid w:val="00226EED"/>
    <w:rsid w:val="002276CA"/>
    <w:rsid w:val="00230F26"/>
    <w:rsid w:val="00233C0A"/>
    <w:rsid w:val="0023514E"/>
    <w:rsid w:val="002371B2"/>
    <w:rsid w:val="00241B53"/>
    <w:rsid w:val="002440F5"/>
    <w:rsid w:val="00247A7E"/>
    <w:rsid w:val="00261499"/>
    <w:rsid w:val="002646C7"/>
    <w:rsid w:val="002674DF"/>
    <w:rsid w:val="00267938"/>
    <w:rsid w:val="0027152B"/>
    <w:rsid w:val="00271831"/>
    <w:rsid w:val="00272C61"/>
    <w:rsid w:val="00276A21"/>
    <w:rsid w:val="00280F3B"/>
    <w:rsid w:val="00283B49"/>
    <w:rsid w:val="00283FFE"/>
    <w:rsid w:val="002850B9"/>
    <w:rsid w:val="0028678A"/>
    <w:rsid w:val="00291382"/>
    <w:rsid w:val="00292D99"/>
    <w:rsid w:val="002934C5"/>
    <w:rsid w:val="002A074E"/>
    <w:rsid w:val="002A193B"/>
    <w:rsid w:val="002B15B4"/>
    <w:rsid w:val="002B1D1F"/>
    <w:rsid w:val="002B4067"/>
    <w:rsid w:val="002C36B0"/>
    <w:rsid w:val="002C64ED"/>
    <w:rsid w:val="002D4160"/>
    <w:rsid w:val="002E2DA1"/>
    <w:rsid w:val="002F0F63"/>
    <w:rsid w:val="002F3498"/>
    <w:rsid w:val="002F573B"/>
    <w:rsid w:val="002F76F9"/>
    <w:rsid w:val="00302827"/>
    <w:rsid w:val="00302C90"/>
    <w:rsid w:val="0030647D"/>
    <w:rsid w:val="00310883"/>
    <w:rsid w:val="00312E74"/>
    <w:rsid w:val="00317E7B"/>
    <w:rsid w:val="00323928"/>
    <w:rsid w:val="0032423D"/>
    <w:rsid w:val="00324C44"/>
    <w:rsid w:val="00325AAB"/>
    <w:rsid w:val="003260B1"/>
    <w:rsid w:val="00326945"/>
    <w:rsid w:val="00326983"/>
    <w:rsid w:val="00326FDD"/>
    <w:rsid w:val="00331AFD"/>
    <w:rsid w:val="003325A3"/>
    <w:rsid w:val="0033291D"/>
    <w:rsid w:val="00335DFD"/>
    <w:rsid w:val="00336D35"/>
    <w:rsid w:val="00340DF4"/>
    <w:rsid w:val="00341577"/>
    <w:rsid w:val="00342578"/>
    <w:rsid w:val="00344382"/>
    <w:rsid w:val="0034465E"/>
    <w:rsid w:val="00345090"/>
    <w:rsid w:val="00345EC5"/>
    <w:rsid w:val="0035112E"/>
    <w:rsid w:val="00351511"/>
    <w:rsid w:val="003546B5"/>
    <w:rsid w:val="003567A5"/>
    <w:rsid w:val="003568D4"/>
    <w:rsid w:val="00360028"/>
    <w:rsid w:val="0037143F"/>
    <w:rsid w:val="00372F89"/>
    <w:rsid w:val="00374E0A"/>
    <w:rsid w:val="00375760"/>
    <w:rsid w:val="003769C6"/>
    <w:rsid w:val="00381106"/>
    <w:rsid w:val="0038114F"/>
    <w:rsid w:val="00383383"/>
    <w:rsid w:val="00383F62"/>
    <w:rsid w:val="00385580"/>
    <w:rsid w:val="003877FA"/>
    <w:rsid w:val="00395D72"/>
    <w:rsid w:val="00396AE1"/>
    <w:rsid w:val="003A08B5"/>
    <w:rsid w:val="003A1267"/>
    <w:rsid w:val="003A1D26"/>
    <w:rsid w:val="003A3984"/>
    <w:rsid w:val="003A4FB4"/>
    <w:rsid w:val="003A5593"/>
    <w:rsid w:val="003B1ECA"/>
    <w:rsid w:val="003B296F"/>
    <w:rsid w:val="003B36EB"/>
    <w:rsid w:val="003B6552"/>
    <w:rsid w:val="003C42B1"/>
    <w:rsid w:val="003C6F73"/>
    <w:rsid w:val="003D0409"/>
    <w:rsid w:val="003D3735"/>
    <w:rsid w:val="003E0671"/>
    <w:rsid w:val="003E4646"/>
    <w:rsid w:val="003E516B"/>
    <w:rsid w:val="003E71C6"/>
    <w:rsid w:val="003E7229"/>
    <w:rsid w:val="003F18D7"/>
    <w:rsid w:val="003F3803"/>
    <w:rsid w:val="003F3EB0"/>
    <w:rsid w:val="003F65E7"/>
    <w:rsid w:val="003F6C83"/>
    <w:rsid w:val="004005AD"/>
    <w:rsid w:val="00400777"/>
    <w:rsid w:val="00400AA2"/>
    <w:rsid w:val="004012FB"/>
    <w:rsid w:val="0040228A"/>
    <w:rsid w:val="0040694E"/>
    <w:rsid w:val="00413112"/>
    <w:rsid w:val="00413FA5"/>
    <w:rsid w:val="00414A7F"/>
    <w:rsid w:val="00417685"/>
    <w:rsid w:val="00422D4B"/>
    <w:rsid w:val="00424C73"/>
    <w:rsid w:val="00426132"/>
    <w:rsid w:val="0042664A"/>
    <w:rsid w:val="0043293B"/>
    <w:rsid w:val="004403A8"/>
    <w:rsid w:val="0044078A"/>
    <w:rsid w:val="00441FBF"/>
    <w:rsid w:val="0044448F"/>
    <w:rsid w:val="00444FA0"/>
    <w:rsid w:val="00452696"/>
    <w:rsid w:val="00453CCE"/>
    <w:rsid w:val="0045445D"/>
    <w:rsid w:val="00454478"/>
    <w:rsid w:val="004554BC"/>
    <w:rsid w:val="00457DEC"/>
    <w:rsid w:val="00460328"/>
    <w:rsid w:val="004654FC"/>
    <w:rsid w:val="00472162"/>
    <w:rsid w:val="0047467C"/>
    <w:rsid w:val="004809BA"/>
    <w:rsid w:val="00483D2B"/>
    <w:rsid w:val="0048729F"/>
    <w:rsid w:val="0048781A"/>
    <w:rsid w:val="00493ED6"/>
    <w:rsid w:val="00494506"/>
    <w:rsid w:val="00495F32"/>
    <w:rsid w:val="004A64EB"/>
    <w:rsid w:val="004B157B"/>
    <w:rsid w:val="004B6BC8"/>
    <w:rsid w:val="004B76D3"/>
    <w:rsid w:val="004C20C9"/>
    <w:rsid w:val="004C2FD7"/>
    <w:rsid w:val="004C3B06"/>
    <w:rsid w:val="004C6D50"/>
    <w:rsid w:val="004D1700"/>
    <w:rsid w:val="004D3B7B"/>
    <w:rsid w:val="004D4A71"/>
    <w:rsid w:val="004E11D3"/>
    <w:rsid w:val="004E1899"/>
    <w:rsid w:val="004E24E1"/>
    <w:rsid w:val="004E3FFF"/>
    <w:rsid w:val="004E4140"/>
    <w:rsid w:val="004E6D6F"/>
    <w:rsid w:val="004F261D"/>
    <w:rsid w:val="005005E0"/>
    <w:rsid w:val="00502520"/>
    <w:rsid w:val="00503522"/>
    <w:rsid w:val="00510249"/>
    <w:rsid w:val="0051423F"/>
    <w:rsid w:val="00520E9A"/>
    <w:rsid w:val="00521C1E"/>
    <w:rsid w:val="00525A8B"/>
    <w:rsid w:val="00527766"/>
    <w:rsid w:val="00531E87"/>
    <w:rsid w:val="00532C39"/>
    <w:rsid w:val="00534A75"/>
    <w:rsid w:val="00534C44"/>
    <w:rsid w:val="00535127"/>
    <w:rsid w:val="005402AA"/>
    <w:rsid w:val="0054349B"/>
    <w:rsid w:val="005454BF"/>
    <w:rsid w:val="005467C7"/>
    <w:rsid w:val="00553CCF"/>
    <w:rsid w:val="00555025"/>
    <w:rsid w:val="00555C9B"/>
    <w:rsid w:val="00556B79"/>
    <w:rsid w:val="00561C51"/>
    <w:rsid w:val="005646D5"/>
    <w:rsid w:val="0056710A"/>
    <w:rsid w:val="005701AA"/>
    <w:rsid w:val="0057165F"/>
    <w:rsid w:val="005750FD"/>
    <w:rsid w:val="0057562B"/>
    <w:rsid w:val="00582AF2"/>
    <w:rsid w:val="00585909"/>
    <w:rsid w:val="00587ECE"/>
    <w:rsid w:val="00590806"/>
    <w:rsid w:val="005953BC"/>
    <w:rsid w:val="00597552"/>
    <w:rsid w:val="005A095D"/>
    <w:rsid w:val="005A3C05"/>
    <w:rsid w:val="005B004E"/>
    <w:rsid w:val="005B0199"/>
    <w:rsid w:val="005B0FF5"/>
    <w:rsid w:val="005B6F46"/>
    <w:rsid w:val="005C148E"/>
    <w:rsid w:val="005C245D"/>
    <w:rsid w:val="005C303C"/>
    <w:rsid w:val="005C5AAC"/>
    <w:rsid w:val="005C67EE"/>
    <w:rsid w:val="005D1071"/>
    <w:rsid w:val="005D3018"/>
    <w:rsid w:val="005D7883"/>
    <w:rsid w:val="005E3B9F"/>
    <w:rsid w:val="005F139D"/>
    <w:rsid w:val="005F1401"/>
    <w:rsid w:val="005F1845"/>
    <w:rsid w:val="005F316E"/>
    <w:rsid w:val="005F70B6"/>
    <w:rsid w:val="00601047"/>
    <w:rsid w:val="00601F6C"/>
    <w:rsid w:val="0060296D"/>
    <w:rsid w:val="00610A8F"/>
    <w:rsid w:val="00611B7A"/>
    <w:rsid w:val="00614984"/>
    <w:rsid w:val="00623228"/>
    <w:rsid w:val="00624B06"/>
    <w:rsid w:val="00625BEC"/>
    <w:rsid w:val="006264B3"/>
    <w:rsid w:val="006304E9"/>
    <w:rsid w:val="006360A6"/>
    <w:rsid w:val="00640B21"/>
    <w:rsid w:val="00644D3D"/>
    <w:rsid w:val="00645B72"/>
    <w:rsid w:val="00645E12"/>
    <w:rsid w:val="006460E3"/>
    <w:rsid w:val="0064660D"/>
    <w:rsid w:val="006470CC"/>
    <w:rsid w:val="006523E3"/>
    <w:rsid w:val="0066368C"/>
    <w:rsid w:val="00663800"/>
    <w:rsid w:val="006643B1"/>
    <w:rsid w:val="0067437C"/>
    <w:rsid w:val="00680A9B"/>
    <w:rsid w:val="00687E3C"/>
    <w:rsid w:val="00691B62"/>
    <w:rsid w:val="00692AAB"/>
    <w:rsid w:val="0069301F"/>
    <w:rsid w:val="00694186"/>
    <w:rsid w:val="00694915"/>
    <w:rsid w:val="0069607B"/>
    <w:rsid w:val="00697834"/>
    <w:rsid w:val="006A5278"/>
    <w:rsid w:val="006A5C42"/>
    <w:rsid w:val="006A7E93"/>
    <w:rsid w:val="006B5843"/>
    <w:rsid w:val="006B7FF1"/>
    <w:rsid w:val="006C4B73"/>
    <w:rsid w:val="006D3CF1"/>
    <w:rsid w:val="006D4F78"/>
    <w:rsid w:val="006D5062"/>
    <w:rsid w:val="006E5A88"/>
    <w:rsid w:val="006F0DA1"/>
    <w:rsid w:val="006F142F"/>
    <w:rsid w:val="006F1AA7"/>
    <w:rsid w:val="006F264F"/>
    <w:rsid w:val="006F27C3"/>
    <w:rsid w:val="006F5239"/>
    <w:rsid w:val="006F6621"/>
    <w:rsid w:val="006F6727"/>
    <w:rsid w:val="006F7A15"/>
    <w:rsid w:val="00701023"/>
    <w:rsid w:val="00707086"/>
    <w:rsid w:val="007074E6"/>
    <w:rsid w:val="0071503F"/>
    <w:rsid w:val="00716159"/>
    <w:rsid w:val="00720B6F"/>
    <w:rsid w:val="00721109"/>
    <w:rsid w:val="007277E5"/>
    <w:rsid w:val="0073099C"/>
    <w:rsid w:val="0073466E"/>
    <w:rsid w:val="00735255"/>
    <w:rsid w:val="007369FA"/>
    <w:rsid w:val="00736FB3"/>
    <w:rsid w:val="00741AE9"/>
    <w:rsid w:val="00743A32"/>
    <w:rsid w:val="00747848"/>
    <w:rsid w:val="00751725"/>
    <w:rsid w:val="00754CE4"/>
    <w:rsid w:val="00757EB9"/>
    <w:rsid w:val="007613FC"/>
    <w:rsid w:val="00761786"/>
    <w:rsid w:val="00765741"/>
    <w:rsid w:val="0076795A"/>
    <w:rsid w:val="007702B0"/>
    <w:rsid w:val="00775FB6"/>
    <w:rsid w:val="007769EC"/>
    <w:rsid w:val="00776B08"/>
    <w:rsid w:val="00777B39"/>
    <w:rsid w:val="00777E14"/>
    <w:rsid w:val="0078503B"/>
    <w:rsid w:val="0078527D"/>
    <w:rsid w:val="00785673"/>
    <w:rsid w:val="00785F37"/>
    <w:rsid w:val="007879CF"/>
    <w:rsid w:val="00795286"/>
    <w:rsid w:val="007963CE"/>
    <w:rsid w:val="00796FB2"/>
    <w:rsid w:val="007A0D57"/>
    <w:rsid w:val="007A1BDE"/>
    <w:rsid w:val="007A1ECD"/>
    <w:rsid w:val="007A342B"/>
    <w:rsid w:val="007A6116"/>
    <w:rsid w:val="007B0230"/>
    <w:rsid w:val="007B6DF5"/>
    <w:rsid w:val="007C0EC7"/>
    <w:rsid w:val="007C204F"/>
    <w:rsid w:val="007C425B"/>
    <w:rsid w:val="007C4F7D"/>
    <w:rsid w:val="007C5FB1"/>
    <w:rsid w:val="007D2BCD"/>
    <w:rsid w:val="007E1DDB"/>
    <w:rsid w:val="007E5EF0"/>
    <w:rsid w:val="007F0271"/>
    <w:rsid w:val="007F640A"/>
    <w:rsid w:val="008018DE"/>
    <w:rsid w:val="0080293D"/>
    <w:rsid w:val="00802EF6"/>
    <w:rsid w:val="00804AFD"/>
    <w:rsid w:val="0080639B"/>
    <w:rsid w:val="00807D5B"/>
    <w:rsid w:val="0081528F"/>
    <w:rsid w:val="008172EE"/>
    <w:rsid w:val="00817A83"/>
    <w:rsid w:val="00817ADF"/>
    <w:rsid w:val="008204FF"/>
    <w:rsid w:val="008207F9"/>
    <w:rsid w:val="0082164B"/>
    <w:rsid w:val="00823001"/>
    <w:rsid w:val="008237BB"/>
    <w:rsid w:val="008244A7"/>
    <w:rsid w:val="00824837"/>
    <w:rsid w:val="008255CE"/>
    <w:rsid w:val="008266A0"/>
    <w:rsid w:val="008364BA"/>
    <w:rsid w:val="008376EC"/>
    <w:rsid w:val="00840346"/>
    <w:rsid w:val="008403F9"/>
    <w:rsid w:val="00840617"/>
    <w:rsid w:val="00840887"/>
    <w:rsid w:val="00840D1A"/>
    <w:rsid w:val="00843304"/>
    <w:rsid w:val="0084451D"/>
    <w:rsid w:val="00847397"/>
    <w:rsid w:val="00854DE8"/>
    <w:rsid w:val="008556C2"/>
    <w:rsid w:val="00863E95"/>
    <w:rsid w:val="0086659B"/>
    <w:rsid w:val="00871E1C"/>
    <w:rsid w:val="00871E5E"/>
    <w:rsid w:val="00876D12"/>
    <w:rsid w:val="00883B42"/>
    <w:rsid w:val="00891BDC"/>
    <w:rsid w:val="00893AA5"/>
    <w:rsid w:val="008A76B8"/>
    <w:rsid w:val="008B02E5"/>
    <w:rsid w:val="008B0DB2"/>
    <w:rsid w:val="008B11AF"/>
    <w:rsid w:val="008B198E"/>
    <w:rsid w:val="008B20A1"/>
    <w:rsid w:val="008C08E2"/>
    <w:rsid w:val="008C209B"/>
    <w:rsid w:val="008C2109"/>
    <w:rsid w:val="008C256C"/>
    <w:rsid w:val="008C296E"/>
    <w:rsid w:val="008C31EE"/>
    <w:rsid w:val="008C3E88"/>
    <w:rsid w:val="008D0DF3"/>
    <w:rsid w:val="008D14F7"/>
    <w:rsid w:val="008D17C1"/>
    <w:rsid w:val="008D2E7F"/>
    <w:rsid w:val="008D3316"/>
    <w:rsid w:val="008D3955"/>
    <w:rsid w:val="008D46E1"/>
    <w:rsid w:val="008E1F9C"/>
    <w:rsid w:val="008E2DD1"/>
    <w:rsid w:val="008E6DAA"/>
    <w:rsid w:val="008F22D1"/>
    <w:rsid w:val="008F4327"/>
    <w:rsid w:val="008F5B11"/>
    <w:rsid w:val="008F7A2E"/>
    <w:rsid w:val="0091695D"/>
    <w:rsid w:val="00921087"/>
    <w:rsid w:val="009212D5"/>
    <w:rsid w:val="009318EA"/>
    <w:rsid w:val="00936922"/>
    <w:rsid w:val="00940375"/>
    <w:rsid w:val="00945740"/>
    <w:rsid w:val="00952B33"/>
    <w:rsid w:val="009564A9"/>
    <w:rsid w:val="00960067"/>
    <w:rsid w:val="00962AA5"/>
    <w:rsid w:val="00965229"/>
    <w:rsid w:val="00966078"/>
    <w:rsid w:val="009759FA"/>
    <w:rsid w:val="00975A85"/>
    <w:rsid w:val="0098055A"/>
    <w:rsid w:val="0098454D"/>
    <w:rsid w:val="00990D7F"/>
    <w:rsid w:val="00992865"/>
    <w:rsid w:val="00993AC6"/>
    <w:rsid w:val="00994421"/>
    <w:rsid w:val="00994B20"/>
    <w:rsid w:val="00996BB7"/>
    <w:rsid w:val="009A1DD1"/>
    <w:rsid w:val="009A1EF5"/>
    <w:rsid w:val="009A6190"/>
    <w:rsid w:val="009B2D87"/>
    <w:rsid w:val="009B530C"/>
    <w:rsid w:val="009B74F2"/>
    <w:rsid w:val="009C044A"/>
    <w:rsid w:val="009C1FC6"/>
    <w:rsid w:val="009C2752"/>
    <w:rsid w:val="009C2A84"/>
    <w:rsid w:val="009C3B9F"/>
    <w:rsid w:val="009C4419"/>
    <w:rsid w:val="009D2170"/>
    <w:rsid w:val="009D7155"/>
    <w:rsid w:val="009E4596"/>
    <w:rsid w:val="009E52BC"/>
    <w:rsid w:val="009E7EF1"/>
    <w:rsid w:val="009F00D6"/>
    <w:rsid w:val="009F0551"/>
    <w:rsid w:val="00A00C00"/>
    <w:rsid w:val="00A0168C"/>
    <w:rsid w:val="00A03E9C"/>
    <w:rsid w:val="00A051F4"/>
    <w:rsid w:val="00A05713"/>
    <w:rsid w:val="00A06281"/>
    <w:rsid w:val="00A06387"/>
    <w:rsid w:val="00A06B4C"/>
    <w:rsid w:val="00A07709"/>
    <w:rsid w:val="00A07B39"/>
    <w:rsid w:val="00A14A18"/>
    <w:rsid w:val="00A16254"/>
    <w:rsid w:val="00A201F0"/>
    <w:rsid w:val="00A227B8"/>
    <w:rsid w:val="00A23B51"/>
    <w:rsid w:val="00A24BEC"/>
    <w:rsid w:val="00A25AEE"/>
    <w:rsid w:val="00A41C61"/>
    <w:rsid w:val="00A50DAF"/>
    <w:rsid w:val="00A51F4F"/>
    <w:rsid w:val="00A54761"/>
    <w:rsid w:val="00A60EE7"/>
    <w:rsid w:val="00A62EF4"/>
    <w:rsid w:val="00A6413D"/>
    <w:rsid w:val="00A655DD"/>
    <w:rsid w:val="00A71916"/>
    <w:rsid w:val="00A72704"/>
    <w:rsid w:val="00A76A6B"/>
    <w:rsid w:val="00A76AB0"/>
    <w:rsid w:val="00A7711D"/>
    <w:rsid w:val="00A82DFB"/>
    <w:rsid w:val="00A8382A"/>
    <w:rsid w:val="00A84E62"/>
    <w:rsid w:val="00A87D7A"/>
    <w:rsid w:val="00A93AD1"/>
    <w:rsid w:val="00A93E01"/>
    <w:rsid w:val="00A96AA7"/>
    <w:rsid w:val="00AA0D41"/>
    <w:rsid w:val="00AA3FF7"/>
    <w:rsid w:val="00AA4C03"/>
    <w:rsid w:val="00AA58F6"/>
    <w:rsid w:val="00AA7CE7"/>
    <w:rsid w:val="00AB08BB"/>
    <w:rsid w:val="00AB0A9E"/>
    <w:rsid w:val="00AB0C5F"/>
    <w:rsid w:val="00AB26B6"/>
    <w:rsid w:val="00AB4659"/>
    <w:rsid w:val="00AB7D59"/>
    <w:rsid w:val="00AC1074"/>
    <w:rsid w:val="00AC140F"/>
    <w:rsid w:val="00AD07F7"/>
    <w:rsid w:val="00AD1288"/>
    <w:rsid w:val="00AD3EC8"/>
    <w:rsid w:val="00AE1206"/>
    <w:rsid w:val="00AE3025"/>
    <w:rsid w:val="00AE4143"/>
    <w:rsid w:val="00AE65DF"/>
    <w:rsid w:val="00AE733A"/>
    <w:rsid w:val="00AF3DDB"/>
    <w:rsid w:val="00AF4070"/>
    <w:rsid w:val="00AF7780"/>
    <w:rsid w:val="00B008E0"/>
    <w:rsid w:val="00B01480"/>
    <w:rsid w:val="00B0590F"/>
    <w:rsid w:val="00B075B2"/>
    <w:rsid w:val="00B07C45"/>
    <w:rsid w:val="00B10704"/>
    <w:rsid w:val="00B17896"/>
    <w:rsid w:val="00B178DE"/>
    <w:rsid w:val="00B21164"/>
    <w:rsid w:val="00B236B5"/>
    <w:rsid w:val="00B23D41"/>
    <w:rsid w:val="00B357CC"/>
    <w:rsid w:val="00B36046"/>
    <w:rsid w:val="00B44528"/>
    <w:rsid w:val="00B471A9"/>
    <w:rsid w:val="00B47AAC"/>
    <w:rsid w:val="00B501D5"/>
    <w:rsid w:val="00B531F5"/>
    <w:rsid w:val="00B53CEC"/>
    <w:rsid w:val="00B617A0"/>
    <w:rsid w:val="00B62BDF"/>
    <w:rsid w:val="00B65276"/>
    <w:rsid w:val="00B67A13"/>
    <w:rsid w:val="00B67A53"/>
    <w:rsid w:val="00B7057C"/>
    <w:rsid w:val="00B76209"/>
    <w:rsid w:val="00B82D43"/>
    <w:rsid w:val="00B83229"/>
    <w:rsid w:val="00B84672"/>
    <w:rsid w:val="00B85487"/>
    <w:rsid w:val="00B902CB"/>
    <w:rsid w:val="00B9093B"/>
    <w:rsid w:val="00B90C44"/>
    <w:rsid w:val="00B92F6E"/>
    <w:rsid w:val="00B95D4F"/>
    <w:rsid w:val="00B97246"/>
    <w:rsid w:val="00BA0318"/>
    <w:rsid w:val="00BA4376"/>
    <w:rsid w:val="00BA52F1"/>
    <w:rsid w:val="00BA5FA3"/>
    <w:rsid w:val="00BB0652"/>
    <w:rsid w:val="00BB1558"/>
    <w:rsid w:val="00BB1953"/>
    <w:rsid w:val="00BB40C2"/>
    <w:rsid w:val="00BB44AD"/>
    <w:rsid w:val="00BB45DB"/>
    <w:rsid w:val="00BB6C2D"/>
    <w:rsid w:val="00BC0C0D"/>
    <w:rsid w:val="00BC2395"/>
    <w:rsid w:val="00BC39D3"/>
    <w:rsid w:val="00BC6E16"/>
    <w:rsid w:val="00BD1851"/>
    <w:rsid w:val="00BD6AFB"/>
    <w:rsid w:val="00BE29D9"/>
    <w:rsid w:val="00BE75C0"/>
    <w:rsid w:val="00BF20FA"/>
    <w:rsid w:val="00BF3937"/>
    <w:rsid w:val="00C014D6"/>
    <w:rsid w:val="00C0221A"/>
    <w:rsid w:val="00C035B0"/>
    <w:rsid w:val="00C05AA0"/>
    <w:rsid w:val="00C069D2"/>
    <w:rsid w:val="00C0700C"/>
    <w:rsid w:val="00C07C0D"/>
    <w:rsid w:val="00C11742"/>
    <w:rsid w:val="00C11775"/>
    <w:rsid w:val="00C119DB"/>
    <w:rsid w:val="00C16149"/>
    <w:rsid w:val="00C205A1"/>
    <w:rsid w:val="00C27B9C"/>
    <w:rsid w:val="00C27C22"/>
    <w:rsid w:val="00C3161D"/>
    <w:rsid w:val="00C33F68"/>
    <w:rsid w:val="00C3661E"/>
    <w:rsid w:val="00C5315D"/>
    <w:rsid w:val="00C54E58"/>
    <w:rsid w:val="00C54FAE"/>
    <w:rsid w:val="00C55D29"/>
    <w:rsid w:val="00C566AD"/>
    <w:rsid w:val="00C56CFB"/>
    <w:rsid w:val="00C57296"/>
    <w:rsid w:val="00C60148"/>
    <w:rsid w:val="00C60B79"/>
    <w:rsid w:val="00C61A9F"/>
    <w:rsid w:val="00C62109"/>
    <w:rsid w:val="00C64FA0"/>
    <w:rsid w:val="00C65F45"/>
    <w:rsid w:val="00C73945"/>
    <w:rsid w:val="00C74692"/>
    <w:rsid w:val="00C81728"/>
    <w:rsid w:val="00C84B02"/>
    <w:rsid w:val="00C9231E"/>
    <w:rsid w:val="00CA3013"/>
    <w:rsid w:val="00CA6E91"/>
    <w:rsid w:val="00CB078D"/>
    <w:rsid w:val="00CB0F2E"/>
    <w:rsid w:val="00CB1650"/>
    <w:rsid w:val="00CB34D6"/>
    <w:rsid w:val="00CB6206"/>
    <w:rsid w:val="00CC19BE"/>
    <w:rsid w:val="00CC21F7"/>
    <w:rsid w:val="00CC2D7C"/>
    <w:rsid w:val="00CC34E6"/>
    <w:rsid w:val="00CC44B1"/>
    <w:rsid w:val="00CC7E36"/>
    <w:rsid w:val="00CD1329"/>
    <w:rsid w:val="00CD163D"/>
    <w:rsid w:val="00CD2DC3"/>
    <w:rsid w:val="00CD2DDB"/>
    <w:rsid w:val="00CD4407"/>
    <w:rsid w:val="00CD4F9D"/>
    <w:rsid w:val="00CD633A"/>
    <w:rsid w:val="00CD73A9"/>
    <w:rsid w:val="00CF00FF"/>
    <w:rsid w:val="00CF14D2"/>
    <w:rsid w:val="00CF58EE"/>
    <w:rsid w:val="00CF6ADF"/>
    <w:rsid w:val="00CF7CAD"/>
    <w:rsid w:val="00CF7DB2"/>
    <w:rsid w:val="00CF7DF2"/>
    <w:rsid w:val="00CF7E92"/>
    <w:rsid w:val="00D01AF5"/>
    <w:rsid w:val="00D040DA"/>
    <w:rsid w:val="00D05354"/>
    <w:rsid w:val="00D06110"/>
    <w:rsid w:val="00D06885"/>
    <w:rsid w:val="00D0789C"/>
    <w:rsid w:val="00D07B57"/>
    <w:rsid w:val="00D120B7"/>
    <w:rsid w:val="00D17320"/>
    <w:rsid w:val="00D22864"/>
    <w:rsid w:val="00D22B0D"/>
    <w:rsid w:val="00D24747"/>
    <w:rsid w:val="00D321D5"/>
    <w:rsid w:val="00D33F8A"/>
    <w:rsid w:val="00D36AE2"/>
    <w:rsid w:val="00D40624"/>
    <w:rsid w:val="00D41271"/>
    <w:rsid w:val="00D443E4"/>
    <w:rsid w:val="00D46145"/>
    <w:rsid w:val="00D50F98"/>
    <w:rsid w:val="00D5329A"/>
    <w:rsid w:val="00D539C5"/>
    <w:rsid w:val="00D54CD0"/>
    <w:rsid w:val="00D57732"/>
    <w:rsid w:val="00D61D2D"/>
    <w:rsid w:val="00D61FBB"/>
    <w:rsid w:val="00D620CB"/>
    <w:rsid w:val="00D62AA6"/>
    <w:rsid w:val="00D651D7"/>
    <w:rsid w:val="00D66D6B"/>
    <w:rsid w:val="00D77105"/>
    <w:rsid w:val="00D7719E"/>
    <w:rsid w:val="00D82A0C"/>
    <w:rsid w:val="00D8628B"/>
    <w:rsid w:val="00D93AD6"/>
    <w:rsid w:val="00D9599C"/>
    <w:rsid w:val="00D977FA"/>
    <w:rsid w:val="00DA3805"/>
    <w:rsid w:val="00DB0E5E"/>
    <w:rsid w:val="00DB3F49"/>
    <w:rsid w:val="00DB4751"/>
    <w:rsid w:val="00DB54AD"/>
    <w:rsid w:val="00DB622F"/>
    <w:rsid w:val="00DC05C6"/>
    <w:rsid w:val="00DC183F"/>
    <w:rsid w:val="00DC454B"/>
    <w:rsid w:val="00DC4E80"/>
    <w:rsid w:val="00DC6B23"/>
    <w:rsid w:val="00DC7023"/>
    <w:rsid w:val="00DD3279"/>
    <w:rsid w:val="00DD32DF"/>
    <w:rsid w:val="00DD33F2"/>
    <w:rsid w:val="00DD6C61"/>
    <w:rsid w:val="00DE0EFE"/>
    <w:rsid w:val="00DE191B"/>
    <w:rsid w:val="00DE7BF9"/>
    <w:rsid w:val="00DF099F"/>
    <w:rsid w:val="00DF0D79"/>
    <w:rsid w:val="00DF3175"/>
    <w:rsid w:val="00DF38C9"/>
    <w:rsid w:val="00DF3E85"/>
    <w:rsid w:val="00DF452E"/>
    <w:rsid w:val="00DF57C0"/>
    <w:rsid w:val="00E036B2"/>
    <w:rsid w:val="00E04295"/>
    <w:rsid w:val="00E05297"/>
    <w:rsid w:val="00E06E6E"/>
    <w:rsid w:val="00E15B50"/>
    <w:rsid w:val="00E20AD5"/>
    <w:rsid w:val="00E2120A"/>
    <w:rsid w:val="00E23488"/>
    <w:rsid w:val="00E24BA1"/>
    <w:rsid w:val="00E3002E"/>
    <w:rsid w:val="00E35846"/>
    <w:rsid w:val="00E42C78"/>
    <w:rsid w:val="00E42EFC"/>
    <w:rsid w:val="00E44829"/>
    <w:rsid w:val="00E46828"/>
    <w:rsid w:val="00E50D44"/>
    <w:rsid w:val="00E521C1"/>
    <w:rsid w:val="00E60925"/>
    <w:rsid w:val="00E62AB7"/>
    <w:rsid w:val="00E64995"/>
    <w:rsid w:val="00E6607D"/>
    <w:rsid w:val="00E75035"/>
    <w:rsid w:val="00E75635"/>
    <w:rsid w:val="00E75C5A"/>
    <w:rsid w:val="00E77346"/>
    <w:rsid w:val="00E801BD"/>
    <w:rsid w:val="00E82095"/>
    <w:rsid w:val="00E82147"/>
    <w:rsid w:val="00E845C0"/>
    <w:rsid w:val="00E84B6D"/>
    <w:rsid w:val="00E84F22"/>
    <w:rsid w:val="00E8662B"/>
    <w:rsid w:val="00E9451E"/>
    <w:rsid w:val="00E9744C"/>
    <w:rsid w:val="00EA1196"/>
    <w:rsid w:val="00EA1375"/>
    <w:rsid w:val="00EA1915"/>
    <w:rsid w:val="00EA3587"/>
    <w:rsid w:val="00EB4374"/>
    <w:rsid w:val="00EB46C1"/>
    <w:rsid w:val="00EB5671"/>
    <w:rsid w:val="00EC1706"/>
    <w:rsid w:val="00EC56FF"/>
    <w:rsid w:val="00EC5C3E"/>
    <w:rsid w:val="00ED15E3"/>
    <w:rsid w:val="00EE504A"/>
    <w:rsid w:val="00EF1412"/>
    <w:rsid w:val="00EF17E0"/>
    <w:rsid w:val="00EF547B"/>
    <w:rsid w:val="00F002AA"/>
    <w:rsid w:val="00F002FB"/>
    <w:rsid w:val="00F011B1"/>
    <w:rsid w:val="00F03521"/>
    <w:rsid w:val="00F04CBD"/>
    <w:rsid w:val="00F05BA1"/>
    <w:rsid w:val="00F068BC"/>
    <w:rsid w:val="00F131F3"/>
    <w:rsid w:val="00F16187"/>
    <w:rsid w:val="00F200AE"/>
    <w:rsid w:val="00F219AF"/>
    <w:rsid w:val="00F2300A"/>
    <w:rsid w:val="00F23A2A"/>
    <w:rsid w:val="00F34C8A"/>
    <w:rsid w:val="00F36045"/>
    <w:rsid w:val="00F370E5"/>
    <w:rsid w:val="00F410CE"/>
    <w:rsid w:val="00F442F2"/>
    <w:rsid w:val="00F45027"/>
    <w:rsid w:val="00F456D7"/>
    <w:rsid w:val="00F46048"/>
    <w:rsid w:val="00F500CD"/>
    <w:rsid w:val="00F520EA"/>
    <w:rsid w:val="00F5607F"/>
    <w:rsid w:val="00F5678A"/>
    <w:rsid w:val="00F6523A"/>
    <w:rsid w:val="00F66215"/>
    <w:rsid w:val="00F66680"/>
    <w:rsid w:val="00F66E7C"/>
    <w:rsid w:val="00F73079"/>
    <w:rsid w:val="00F734AB"/>
    <w:rsid w:val="00F7732C"/>
    <w:rsid w:val="00F77D17"/>
    <w:rsid w:val="00F8760A"/>
    <w:rsid w:val="00F87AC9"/>
    <w:rsid w:val="00F91F27"/>
    <w:rsid w:val="00F93EBA"/>
    <w:rsid w:val="00F96C3D"/>
    <w:rsid w:val="00FA00CE"/>
    <w:rsid w:val="00FA39FD"/>
    <w:rsid w:val="00FA5550"/>
    <w:rsid w:val="00FA60D0"/>
    <w:rsid w:val="00FB0D6F"/>
    <w:rsid w:val="00FB194D"/>
    <w:rsid w:val="00FB2EFE"/>
    <w:rsid w:val="00FB37DB"/>
    <w:rsid w:val="00FB5856"/>
    <w:rsid w:val="00FB6356"/>
    <w:rsid w:val="00FC2C9E"/>
    <w:rsid w:val="00FC3A9D"/>
    <w:rsid w:val="00FC404D"/>
    <w:rsid w:val="00FC4804"/>
    <w:rsid w:val="00FC5199"/>
    <w:rsid w:val="00FC696E"/>
    <w:rsid w:val="00FD401F"/>
    <w:rsid w:val="00FD43F4"/>
    <w:rsid w:val="00FE791A"/>
    <w:rsid w:val="00FF0680"/>
    <w:rsid w:val="00FF23A4"/>
    <w:rsid w:val="00FF3449"/>
    <w:rsid w:val="00FF385C"/>
    <w:rsid w:val="01141F0C"/>
    <w:rsid w:val="012E64FB"/>
    <w:rsid w:val="013150D1"/>
    <w:rsid w:val="01376BF5"/>
    <w:rsid w:val="01480428"/>
    <w:rsid w:val="016347D7"/>
    <w:rsid w:val="01772C1A"/>
    <w:rsid w:val="01994D9B"/>
    <w:rsid w:val="01B0188A"/>
    <w:rsid w:val="01BC06E8"/>
    <w:rsid w:val="01BE5DEA"/>
    <w:rsid w:val="01FC65CF"/>
    <w:rsid w:val="02215E8E"/>
    <w:rsid w:val="023470AD"/>
    <w:rsid w:val="0243132E"/>
    <w:rsid w:val="02994853"/>
    <w:rsid w:val="02C37824"/>
    <w:rsid w:val="03292E3E"/>
    <w:rsid w:val="03312448"/>
    <w:rsid w:val="034F0886"/>
    <w:rsid w:val="03607C9C"/>
    <w:rsid w:val="038E6CAF"/>
    <w:rsid w:val="03923C1C"/>
    <w:rsid w:val="03C0532A"/>
    <w:rsid w:val="03DD77BA"/>
    <w:rsid w:val="03E30E7F"/>
    <w:rsid w:val="03E37CED"/>
    <w:rsid w:val="04173013"/>
    <w:rsid w:val="04284F5F"/>
    <w:rsid w:val="04544243"/>
    <w:rsid w:val="045570AA"/>
    <w:rsid w:val="045B44B4"/>
    <w:rsid w:val="04796820"/>
    <w:rsid w:val="04831DF5"/>
    <w:rsid w:val="04AF06BB"/>
    <w:rsid w:val="04C8631E"/>
    <w:rsid w:val="04CB521F"/>
    <w:rsid w:val="04D63DFE"/>
    <w:rsid w:val="05000483"/>
    <w:rsid w:val="05055585"/>
    <w:rsid w:val="05330914"/>
    <w:rsid w:val="05420148"/>
    <w:rsid w:val="054F2296"/>
    <w:rsid w:val="055F18E7"/>
    <w:rsid w:val="05C32781"/>
    <w:rsid w:val="05CB2F73"/>
    <w:rsid w:val="05CE4396"/>
    <w:rsid w:val="05EE343D"/>
    <w:rsid w:val="05F4656F"/>
    <w:rsid w:val="06304378"/>
    <w:rsid w:val="06370A12"/>
    <w:rsid w:val="063D748B"/>
    <w:rsid w:val="06557AF2"/>
    <w:rsid w:val="068B4749"/>
    <w:rsid w:val="06C50027"/>
    <w:rsid w:val="06C8202F"/>
    <w:rsid w:val="06CB7731"/>
    <w:rsid w:val="06F71D16"/>
    <w:rsid w:val="071337A7"/>
    <w:rsid w:val="07347160"/>
    <w:rsid w:val="0746121B"/>
    <w:rsid w:val="07582833"/>
    <w:rsid w:val="077C626F"/>
    <w:rsid w:val="07FA2A81"/>
    <w:rsid w:val="07FE603F"/>
    <w:rsid w:val="081409B3"/>
    <w:rsid w:val="082B3553"/>
    <w:rsid w:val="084E56AE"/>
    <w:rsid w:val="08A24D9A"/>
    <w:rsid w:val="08D95292"/>
    <w:rsid w:val="090E4468"/>
    <w:rsid w:val="095835E2"/>
    <w:rsid w:val="0971670A"/>
    <w:rsid w:val="098F00B5"/>
    <w:rsid w:val="09B06F1D"/>
    <w:rsid w:val="09B720CD"/>
    <w:rsid w:val="09D34DEC"/>
    <w:rsid w:val="0A0A716D"/>
    <w:rsid w:val="0A113C98"/>
    <w:rsid w:val="0A197626"/>
    <w:rsid w:val="0A1F21DE"/>
    <w:rsid w:val="0A576648"/>
    <w:rsid w:val="0A6967F2"/>
    <w:rsid w:val="0A814349"/>
    <w:rsid w:val="0AAB518D"/>
    <w:rsid w:val="0AD8378A"/>
    <w:rsid w:val="0AEC5330"/>
    <w:rsid w:val="0AF00EF9"/>
    <w:rsid w:val="0B0539BB"/>
    <w:rsid w:val="0B056B21"/>
    <w:rsid w:val="0B74045A"/>
    <w:rsid w:val="0B810054"/>
    <w:rsid w:val="0B8373EF"/>
    <w:rsid w:val="0B922E9A"/>
    <w:rsid w:val="0B9F17AA"/>
    <w:rsid w:val="0BBA6635"/>
    <w:rsid w:val="0BF31EF1"/>
    <w:rsid w:val="0BFB2354"/>
    <w:rsid w:val="0C0474A2"/>
    <w:rsid w:val="0C3526DB"/>
    <w:rsid w:val="0C616DDD"/>
    <w:rsid w:val="0C696E87"/>
    <w:rsid w:val="0C86379A"/>
    <w:rsid w:val="0CDE28C9"/>
    <w:rsid w:val="0CEA12C0"/>
    <w:rsid w:val="0D0F4C30"/>
    <w:rsid w:val="0D215B97"/>
    <w:rsid w:val="0D2F46E3"/>
    <w:rsid w:val="0D32511A"/>
    <w:rsid w:val="0D9260BA"/>
    <w:rsid w:val="0DA66FB7"/>
    <w:rsid w:val="0DAE2303"/>
    <w:rsid w:val="0E10775E"/>
    <w:rsid w:val="0E2B16A3"/>
    <w:rsid w:val="0E557450"/>
    <w:rsid w:val="0E745543"/>
    <w:rsid w:val="0E8100DC"/>
    <w:rsid w:val="0EA51596"/>
    <w:rsid w:val="0EB12E2A"/>
    <w:rsid w:val="0EB57973"/>
    <w:rsid w:val="0ECE0019"/>
    <w:rsid w:val="0EDB3219"/>
    <w:rsid w:val="0F012210"/>
    <w:rsid w:val="0F2804EA"/>
    <w:rsid w:val="0F3428FC"/>
    <w:rsid w:val="0FE77623"/>
    <w:rsid w:val="101D3266"/>
    <w:rsid w:val="101D58FF"/>
    <w:rsid w:val="1020640C"/>
    <w:rsid w:val="10331CA1"/>
    <w:rsid w:val="104C6409"/>
    <w:rsid w:val="10500B31"/>
    <w:rsid w:val="10B506C4"/>
    <w:rsid w:val="10B55D21"/>
    <w:rsid w:val="10C317FA"/>
    <w:rsid w:val="10E96879"/>
    <w:rsid w:val="110D25CC"/>
    <w:rsid w:val="11167B46"/>
    <w:rsid w:val="11181245"/>
    <w:rsid w:val="11850D97"/>
    <w:rsid w:val="118E05F5"/>
    <w:rsid w:val="11A23D59"/>
    <w:rsid w:val="11C7593B"/>
    <w:rsid w:val="11FF4EE2"/>
    <w:rsid w:val="12121EFB"/>
    <w:rsid w:val="121C1365"/>
    <w:rsid w:val="122449D0"/>
    <w:rsid w:val="12310964"/>
    <w:rsid w:val="12437483"/>
    <w:rsid w:val="12466F31"/>
    <w:rsid w:val="12692A8B"/>
    <w:rsid w:val="126A591A"/>
    <w:rsid w:val="127268EF"/>
    <w:rsid w:val="12B40A3B"/>
    <w:rsid w:val="12B64BB6"/>
    <w:rsid w:val="12CE622F"/>
    <w:rsid w:val="12DC2728"/>
    <w:rsid w:val="12E65ADA"/>
    <w:rsid w:val="12EB5BEE"/>
    <w:rsid w:val="12F76420"/>
    <w:rsid w:val="131C3C3E"/>
    <w:rsid w:val="132147C3"/>
    <w:rsid w:val="134A0035"/>
    <w:rsid w:val="135505C5"/>
    <w:rsid w:val="135A4A4C"/>
    <w:rsid w:val="13CE280D"/>
    <w:rsid w:val="13EC783E"/>
    <w:rsid w:val="13FB1ED6"/>
    <w:rsid w:val="1416235F"/>
    <w:rsid w:val="1444010B"/>
    <w:rsid w:val="14465CDE"/>
    <w:rsid w:val="144F7C7C"/>
    <w:rsid w:val="14892F40"/>
    <w:rsid w:val="148A6443"/>
    <w:rsid w:val="148B3EC5"/>
    <w:rsid w:val="149029B3"/>
    <w:rsid w:val="14CD492E"/>
    <w:rsid w:val="14FC3E84"/>
    <w:rsid w:val="155C2F18"/>
    <w:rsid w:val="156825AE"/>
    <w:rsid w:val="1593499B"/>
    <w:rsid w:val="159F4C86"/>
    <w:rsid w:val="15B6623D"/>
    <w:rsid w:val="160665E7"/>
    <w:rsid w:val="1619156D"/>
    <w:rsid w:val="163760FE"/>
    <w:rsid w:val="165827F4"/>
    <w:rsid w:val="166457E2"/>
    <w:rsid w:val="16712C2B"/>
    <w:rsid w:val="168D108C"/>
    <w:rsid w:val="16975B8F"/>
    <w:rsid w:val="16984332"/>
    <w:rsid w:val="16A40CB1"/>
    <w:rsid w:val="16BF2BDC"/>
    <w:rsid w:val="16C20FAE"/>
    <w:rsid w:val="16C85676"/>
    <w:rsid w:val="16DE645E"/>
    <w:rsid w:val="16F73D91"/>
    <w:rsid w:val="17310D74"/>
    <w:rsid w:val="17CC1A18"/>
    <w:rsid w:val="17DD3211"/>
    <w:rsid w:val="17E838C7"/>
    <w:rsid w:val="17F00526"/>
    <w:rsid w:val="17F141D6"/>
    <w:rsid w:val="182C67E8"/>
    <w:rsid w:val="182F6239"/>
    <w:rsid w:val="18317BCF"/>
    <w:rsid w:val="18484C79"/>
    <w:rsid w:val="18736D2E"/>
    <w:rsid w:val="18CE3D15"/>
    <w:rsid w:val="19244AA4"/>
    <w:rsid w:val="19484788"/>
    <w:rsid w:val="19516C1D"/>
    <w:rsid w:val="1953639C"/>
    <w:rsid w:val="19860CB4"/>
    <w:rsid w:val="198F748A"/>
    <w:rsid w:val="19B92560"/>
    <w:rsid w:val="19C52E58"/>
    <w:rsid w:val="19E62842"/>
    <w:rsid w:val="1A003D19"/>
    <w:rsid w:val="1A003F36"/>
    <w:rsid w:val="1A124430"/>
    <w:rsid w:val="1A991AA7"/>
    <w:rsid w:val="1ACE29EE"/>
    <w:rsid w:val="1AD20676"/>
    <w:rsid w:val="1ADC4E7E"/>
    <w:rsid w:val="1AE70878"/>
    <w:rsid w:val="1AE73332"/>
    <w:rsid w:val="1B1A4683"/>
    <w:rsid w:val="1B1C7B86"/>
    <w:rsid w:val="1B292528"/>
    <w:rsid w:val="1B507FB6"/>
    <w:rsid w:val="1B59140C"/>
    <w:rsid w:val="1B621045"/>
    <w:rsid w:val="1B7E7A5B"/>
    <w:rsid w:val="1B87600C"/>
    <w:rsid w:val="1BA33A75"/>
    <w:rsid w:val="1BCF7798"/>
    <w:rsid w:val="1BE81BE8"/>
    <w:rsid w:val="1C3276CE"/>
    <w:rsid w:val="1C55093E"/>
    <w:rsid w:val="1C683986"/>
    <w:rsid w:val="1C787E42"/>
    <w:rsid w:val="1CB0381F"/>
    <w:rsid w:val="1CD224FC"/>
    <w:rsid w:val="1CFB041C"/>
    <w:rsid w:val="1D1247BD"/>
    <w:rsid w:val="1D1A544D"/>
    <w:rsid w:val="1D345622"/>
    <w:rsid w:val="1D3F284F"/>
    <w:rsid w:val="1D7918F4"/>
    <w:rsid w:val="1D81260B"/>
    <w:rsid w:val="1DB530CD"/>
    <w:rsid w:val="1DC0365D"/>
    <w:rsid w:val="1DEE0CA9"/>
    <w:rsid w:val="1E30365A"/>
    <w:rsid w:val="1ECF0A69"/>
    <w:rsid w:val="1EDD7660"/>
    <w:rsid w:val="1EF60271"/>
    <w:rsid w:val="1EF9465E"/>
    <w:rsid w:val="1EFF0D00"/>
    <w:rsid w:val="1F127786"/>
    <w:rsid w:val="1F145C91"/>
    <w:rsid w:val="1F343821"/>
    <w:rsid w:val="1F8822F6"/>
    <w:rsid w:val="1F9963BB"/>
    <w:rsid w:val="1F9D1135"/>
    <w:rsid w:val="1FAF28D4"/>
    <w:rsid w:val="1FC8282B"/>
    <w:rsid w:val="1FD27BC4"/>
    <w:rsid w:val="1FF457E0"/>
    <w:rsid w:val="20030393"/>
    <w:rsid w:val="20330EE3"/>
    <w:rsid w:val="204075A8"/>
    <w:rsid w:val="209B272E"/>
    <w:rsid w:val="20AF1C31"/>
    <w:rsid w:val="20FE7F26"/>
    <w:rsid w:val="2115722E"/>
    <w:rsid w:val="213C72F6"/>
    <w:rsid w:val="21583244"/>
    <w:rsid w:val="21AE3C52"/>
    <w:rsid w:val="21C73562"/>
    <w:rsid w:val="21F25E26"/>
    <w:rsid w:val="22027E59"/>
    <w:rsid w:val="22232F7B"/>
    <w:rsid w:val="223C6D39"/>
    <w:rsid w:val="223F06FF"/>
    <w:rsid w:val="22425A18"/>
    <w:rsid w:val="225C66B5"/>
    <w:rsid w:val="227008F7"/>
    <w:rsid w:val="22954BCE"/>
    <w:rsid w:val="22A10F24"/>
    <w:rsid w:val="23070AE3"/>
    <w:rsid w:val="2336334D"/>
    <w:rsid w:val="237C18C4"/>
    <w:rsid w:val="23EE4181"/>
    <w:rsid w:val="24714088"/>
    <w:rsid w:val="247C6DDD"/>
    <w:rsid w:val="24B8164C"/>
    <w:rsid w:val="24B8653D"/>
    <w:rsid w:val="251017DE"/>
    <w:rsid w:val="251D6DF2"/>
    <w:rsid w:val="25464C00"/>
    <w:rsid w:val="254A78A9"/>
    <w:rsid w:val="254F1509"/>
    <w:rsid w:val="25593581"/>
    <w:rsid w:val="259671DC"/>
    <w:rsid w:val="25A07943"/>
    <w:rsid w:val="25A30180"/>
    <w:rsid w:val="25B649A0"/>
    <w:rsid w:val="25DA44B3"/>
    <w:rsid w:val="25F530F5"/>
    <w:rsid w:val="25F561D2"/>
    <w:rsid w:val="25F66AD5"/>
    <w:rsid w:val="26141908"/>
    <w:rsid w:val="262B372C"/>
    <w:rsid w:val="262D5996"/>
    <w:rsid w:val="26B8675A"/>
    <w:rsid w:val="26CB4080"/>
    <w:rsid w:val="26EB02E7"/>
    <w:rsid w:val="27027F0C"/>
    <w:rsid w:val="27037352"/>
    <w:rsid w:val="2710126F"/>
    <w:rsid w:val="27290909"/>
    <w:rsid w:val="2733206A"/>
    <w:rsid w:val="27896EEB"/>
    <w:rsid w:val="27B66AB6"/>
    <w:rsid w:val="27BF4F3E"/>
    <w:rsid w:val="27C66D50"/>
    <w:rsid w:val="27DD30F2"/>
    <w:rsid w:val="27DF4C20"/>
    <w:rsid w:val="27E22CF8"/>
    <w:rsid w:val="27F51EE9"/>
    <w:rsid w:val="27F92A22"/>
    <w:rsid w:val="284D598A"/>
    <w:rsid w:val="28941DB5"/>
    <w:rsid w:val="28B27C52"/>
    <w:rsid w:val="28BC1D09"/>
    <w:rsid w:val="28C50E71"/>
    <w:rsid w:val="28E00516"/>
    <w:rsid w:val="29250DEB"/>
    <w:rsid w:val="294D43EE"/>
    <w:rsid w:val="29896BF9"/>
    <w:rsid w:val="29A1273D"/>
    <w:rsid w:val="29B155F7"/>
    <w:rsid w:val="29CB1EE9"/>
    <w:rsid w:val="2A0071AE"/>
    <w:rsid w:val="2A0B35DC"/>
    <w:rsid w:val="2A2D6809"/>
    <w:rsid w:val="2A3C3ED6"/>
    <w:rsid w:val="2A564F59"/>
    <w:rsid w:val="2A605508"/>
    <w:rsid w:val="2A66639F"/>
    <w:rsid w:val="2A6D56D4"/>
    <w:rsid w:val="2ACC56E7"/>
    <w:rsid w:val="2ADF1A79"/>
    <w:rsid w:val="2AFC4314"/>
    <w:rsid w:val="2B221C58"/>
    <w:rsid w:val="2B5972A7"/>
    <w:rsid w:val="2B790446"/>
    <w:rsid w:val="2B797BCC"/>
    <w:rsid w:val="2B7B6DE1"/>
    <w:rsid w:val="2B95320E"/>
    <w:rsid w:val="2B964513"/>
    <w:rsid w:val="2BB131DE"/>
    <w:rsid w:val="2BC12DD8"/>
    <w:rsid w:val="2BF921D4"/>
    <w:rsid w:val="2C0D51D7"/>
    <w:rsid w:val="2C4C4F3B"/>
    <w:rsid w:val="2C5751E7"/>
    <w:rsid w:val="2C58453F"/>
    <w:rsid w:val="2C6303E3"/>
    <w:rsid w:val="2C64371F"/>
    <w:rsid w:val="2C7C09FB"/>
    <w:rsid w:val="2C9A3138"/>
    <w:rsid w:val="2CCC1500"/>
    <w:rsid w:val="2CDF1F2B"/>
    <w:rsid w:val="2CF57952"/>
    <w:rsid w:val="2D0C39B3"/>
    <w:rsid w:val="2D347437"/>
    <w:rsid w:val="2D500043"/>
    <w:rsid w:val="2D562D33"/>
    <w:rsid w:val="2D6E1691"/>
    <w:rsid w:val="2D801AB4"/>
    <w:rsid w:val="2D8E0313"/>
    <w:rsid w:val="2DF70819"/>
    <w:rsid w:val="2DFC3865"/>
    <w:rsid w:val="2EA42B11"/>
    <w:rsid w:val="2EB51870"/>
    <w:rsid w:val="2EB952F9"/>
    <w:rsid w:val="2EE26FA0"/>
    <w:rsid w:val="2F0877ED"/>
    <w:rsid w:val="2F3017FD"/>
    <w:rsid w:val="2F4D332A"/>
    <w:rsid w:val="2F5C328E"/>
    <w:rsid w:val="2F842C66"/>
    <w:rsid w:val="2F85181E"/>
    <w:rsid w:val="2F8732A9"/>
    <w:rsid w:val="2F8743DE"/>
    <w:rsid w:val="2FA7273E"/>
    <w:rsid w:val="2FB77156"/>
    <w:rsid w:val="2FB8445A"/>
    <w:rsid w:val="2FCB0287"/>
    <w:rsid w:val="300105A0"/>
    <w:rsid w:val="3004016A"/>
    <w:rsid w:val="300C4FCB"/>
    <w:rsid w:val="304C6297"/>
    <w:rsid w:val="304E4D2F"/>
    <w:rsid w:val="305D78D4"/>
    <w:rsid w:val="30693B67"/>
    <w:rsid w:val="308A2EA8"/>
    <w:rsid w:val="309F7453"/>
    <w:rsid w:val="30AE2781"/>
    <w:rsid w:val="30B445A1"/>
    <w:rsid w:val="31430734"/>
    <w:rsid w:val="31431F78"/>
    <w:rsid w:val="314F098E"/>
    <w:rsid w:val="31584683"/>
    <w:rsid w:val="316A7E21"/>
    <w:rsid w:val="318A6AC1"/>
    <w:rsid w:val="31AE7611"/>
    <w:rsid w:val="31B5351E"/>
    <w:rsid w:val="31B91941"/>
    <w:rsid w:val="31C8719B"/>
    <w:rsid w:val="31D51A9D"/>
    <w:rsid w:val="31DD1F67"/>
    <w:rsid w:val="31F15FEA"/>
    <w:rsid w:val="32055AA1"/>
    <w:rsid w:val="321A21C3"/>
    <w:rsid w:val="322F7054"/>
    <w:rsid w:val="323E66AB"/>
    <w:rsid w:val="32406B7F"/>
    <w:rsid w:val="327A1A60"/>
    <w:rsid w:val="328175E9"/>
    <w:rsid w:val="32D16704"/>
    <w:rsid w:val="32EE5DA9"/>
    <w:rsid w:val="32FB14B1"/>
    <w:rsid w:val="332A56CE"/>
    <w:rsid w:val="3334290F"/>
    <w:rsid w:val="33527CC1"/>
    <w:rsid w:val="33562DB9"/>
    <w:rsid w:val="336246D8"/>
    <w:rsid w:val="33774A70"/>
    <w:rsid w:val="33A22F43"/>
    <w:rsid w:val="33AC3FD0"/>
    <w:rsid w:val="33B4462A"/>
    <w:rsid w:val="3411487C"/>
    <w:rsid w:val="342B5426"/>
    <w:rsid w:val="34401B48"/>
    <w:rsid w:val="344C595B"/>
    <w:rsid w:val="34712317"/>
    <w:rsid w:val="347F59CC"/>
    <w:rsid w:val="34BE6DFD"/>
    <w:rsid w:val="34CF02F5"/>
    <w:rsid w:val="34E64D57"/>
    <w:rsid w:val="35256D96"/>
    <w:rsid w:val="354514BC"/>
    <w:rsid w:val="355A0B0E"/>
    <w:rsid w:val="355E0C9B"/>
    <w:rsid w:val="35623B93"/>
    <w:rsid w:val="359C4247"/>
    <w:rsid w:val="35A44423"/>
    <w:rsid w:val="35C24608"/>
    <w:rsid w:val="35D07B34"/>
    <w:rsid w:val="35E11274"/>
    <w:rsid w:val="35FC26B6"/>
    <w:rsid w:val="360314B5"/>
    <w:rsid w:val="36665059"/>
    <w:rsid w:val="36B967B6"/>
    <w:rsid w:val="36C74F1C"/>
    <w:rsid w:val="36EC2A2B"/>
    <w:rsid w:val="36F34E66"/>
    <w:rsid w:val="36F77603"/>
    <w:rsid w:val="3704484F"/>
    <w:rsid w:val="371B2276"/>
    <w:rsid w:val="371E48FD"/>
    <w:rsid w:val="372419CB"/>
    <w:rsid w:val="3760133A"/>
    <w:rsid w:val="37BA7F8E"/>
    <w:rsid w:val="37E44BE7"/>
    <w:rsid w:val="37F5209C"/>
    <w:rsid w:val="37FB5747"/>
    <w:rsid w:val="37FF69F3"/>
    <w:rsid w:val="38134A0C"/>
    <w:rsid w:val="38222D5C"/>
    <w:rsid w:val="383529C2"/>
    <w:rsid w:val="3858622C"/>
    <w:rsid w:val="38B718B9"/>
    <w:rsid w:val="38EE5AE6"/>
    <w:rsid w:val="39083645"/>
    <w:rsid w:val="39336168"/>
    <w:rsid w:val="39905D1F"/>
    <w:rsid w:val="39E07AAF"/>
    <w:rsid w:val="39EA4612"/>
    <w:rsid w:val="3A4A501C"/>
    <w:rsid w:val="3A500ED5"/>
    <w:rsid w:val="3A5A6CB1"/>
    <w:rsid w:val="3A6F486B"/>
    <w:rsid w:val="3A8D3E1B"/>
    <w:rsid w:val="3A9E1479"/>
    <w:rsid w:val="3AA26D87"/>
    <w:rsid w:val="3AA92208"/>
    <w:rsid w:val="3AAD699C"/>
    <w:rsid w:val="3AC14675"/>
    <w:rsid w:val="3ACD5C48"/>
    <w:rsid w:val="3AD1108C"/>
    <w:rsid w:val="3B203C1D"/>
    <w:rsid w:val="3B2F423D"/>
    <w:rsid w:val="3B531D42"/>
    <w:rsid w:val="3B9F1838"/>
    <w:rsid w:val="3BAE2E4F"/>
    <w:rsid w:val="3BB227A9"/>
    <w:rsid w:val="3BBF0D53"/>
    <w:rsid w:val="3BC65B21"/>
    <w:rsid w:val="3C2F7497"/>
    <w:rsid w:val="3C4D026B"/>
    <w:rsid w:val="3C72666C"/>
    <w:rsid w:val="3C747095"/>
    <w:rsid w:val="3CAA35F3"/>
    <w:rsid w:val="3CD64735"/>
    <w:rsid w:val="3CED55E4"/>
    <w:rsid w:val="3CED5F04"/>
    <w:rsid w:val="3CEE3157"/>
    <w:rsid w:val="3D61263F"/>
    <w:rsid w:val="3D6969CA"/>
    <w:rsid w:val="3DB51CC8"/>
    <w:rsid w:val="3DC36E61"/>
    <w:rsid w:val="3DC7454C"/>
    <w:rsid w:val="3DD75D86"/>
    <w:rsid w:val="3DDA2331"/>
    <w:rsid w:val="3DE35197"/>
    <w:rsid w:val="3DF763B6"/>
    <w:rsid w:val="3DFC1B0F"/>
    <w:rsid w:val="3DFD3B43"/>
    <w:rsid w:val="3E0211EB"/>
    <w:rsid w:val="3E074B77"/>
    <w:rsid w:val="3E26627D"/>
    <w:rsid w:val="3E5C32F9"/>
    <w:rsid w:val="3E5C3B5C"/>
    <w:rsid w:val="3E9A7F71"/>
    <w:rsid w:val="3EB23A96"/>
    <w:rsid w:val="3EB474FB"/>
    <w:rsid w:val="3EBD5F7A"/>
    <w:rsid w:val="3ED84082"/>
    <w:rsid w:val="3EDF719F"/>
    <w:rsid w:val="3F181C0F"/>
    <w:rsid w:val="3F533726"/>
    <w:rsid w:val="3F690816"/>
    <w:rsid w:val="3F7163ED"/>
    <w:rsid w:val="3F850146"/>
    <w:rsid w:val="3F8D2FD4"/>
    <w:rsid w:val="3FA12038"/>
    <w:rsid w:val="3FAF5707"/>
    <w:rsid w:val="3FC6365C"/>
    <w:rsid w:val="3FD30284"/>
    <w:rsid w:val="3FD81625"/>
    <w:rsid w:val="3FE937B4"/>
    <w:rsid w:val="3FED7813"/>
    <w:rsid w:val="3FFD6B0B"/>
    <w:rsid w:val="400B246B"/>
    <w:rsid w:val="40273032"/>
    <w:rsid w:val="403A5F5C"/>
    <w:rsid w:val="409E758E"/>
    <w:rsid w:val="40CE65A2"/>
    <w:rsid w:val="40FD2CAA"/>
    <w:rsid w:val="40FF4D28"/>
    <w:rsid w:val="41334FD0"/>
    <w:rsid w:val="413B7F6C"/>
    <w:rsid w:val="41647357"/>
    <w:rsid w:val="416B6CE2"/>
    <w:rsid w:val="41793A79"/>
    <w:rsid w:val="41902B30"/>
    <w:rsid w:val="41A95EEF"/>
    <w:rsid w:val="41B44B58"/>
    <w:rsid w:val="41C365D1"/>
    <w:rsid w:val="41D00C05"/>
    <w:rsid w:val="421B573D"/>
    <w:rsid w:val="422A6C82"/>
    <w:rsid w:val="42815556"/>
    <w:rsid w:val="429A1239"/>
    <w:rsid w:val="42B04E7B"/>
    <w:rsid w:val="42D42BEE"/>
    <w:rsid w:val="42F902C8"/>
    <w:rsid w:val="42FE3875"/>
    <w:rsid w:val="435035FE"/>
    <w:rsid w:val="439B5ED5"/>
    <w:rsid w:val="441546C2"/>
    <w:rsid w:val="44175C30"/>
    <w:rsid w:val="441C5649"/>
    <w:rsid w:val="441E3CCD"/>
    <w:rsid w:val="442D4E03"/>
    <w:rsid w:val="445C0758"/>
    <w:rsid w:val="4469414C"/>
    <w:rsid w:val="4488613D"/>
    <w:rsid w:val="449375DB"/>
    <w:rsid w:val="449C2885"/>
    <w:rsid w:val="44B61E15"/>
    <w:rsid w:val="44BC3E41"/>
    <w:rsid w:val="44C520B9"/>
    <w:rsid w:val="44DD6689"/>
    <w:rsid w:val="44F94935"/>
    <w:rsid w:val="45037B20"/>
    <w:rsid w:val="450A0452"/>
    <w:rsid w:val="45211D32"/>
    <w:rsid w:val="45267D82"/>
    <w:rsid w:val="455D4290"/>
    <w:rsid w:val="459A4D4A"/>
    <w:rsid w:val="45C60805"/>
    <w:rsid w:val="45D32369"/>
    <w:rsid w:val="4610193B"/>
    <w:rsid w:val="46125401"/>
    <w:rsid w:val="46317EB5"/>
    <w:rsid w:val="464F7136"/>
    <w:rsid w:val="4695526A"/>
    <w:rsid w:val="4698087C"/>
    <w:rsid w:val="469B1DC8"/>
    <w:rsid w:val="46AC411F"/>
    <w:rsid w:val="46C50728"/>
    <w:rsid w:val="46C661AA"/>
    <w:rsid w:val="46CC63BA"/>
    <w:rsid w:val="46CE6E39"/>
    <w:rsid w:val="46F60EF7"/>
    <w:rsid w:val="47437620"/>
    <w:rsid w:val="47462B2E"/>
    <w:rsid w:val="475826A5"/>
    <w:rsid w:val="47926077"/>
    <w:rsid w:val="47AD77EE"/>
    <w:rsid w:val="47BC2236"/>
    <w:rsid w:val="47C10DCA"/>
    <w:rsid w:val="48187E89"/>
    <w:rsid w:val="48336994"/>
    <w:rsid w:val="48653C2A"/>
    <w:rsid w:val="4869665F"/>
    <w:rsid w:val="48862907"/>
    <w:rsid w:val="48D92391"/>
    <w:rsid w:val="491E7603"/>
    <w:rsid w:val="49383A70"/>
    <w:rsid w:val="494459DD"/>
    <w:rsid w:val="49653FDA"/>
    <w:rsid w:val="49A826F5"/>
    <w:rsid w:val="49B04973"/>
    <w:rsid w:val="49D17DAE"/>
    <w:rsid w:val="49EA5A52"/>
    <w:rsid w:val="4A373D8C"/>
    <w:rsid w:val="4A7F1CEE"/>
    <w:rsid w:val="4AA56177"/>
    <w:rsid w:val="4AAA260D"/>
    <w:rsid w:val="4AAB008E"/>
    <w:rsid w:val="4ABE01B5"/>
    <w:rsid w:val="4ACD7E22"/>
    <w:rsid w:val="4AE16E16"/>
    <w:rsid w:val="4AED437B"/>
    <w:rsid w:val="4AF76E89"/>
    <w:rsid w:val="4AF9238C"/>
    <w:rsid w:val="4B127CB9"/>
    <w:rsid w:val="4B4418E7"/>
    <w:rsid w:val="4B801D5A"/>
    <w:rsid w:val="4B9C307B"/>
    <w:rsid w:val="4B9F639D"/>
    <w:rsid w:val="4BA36B64"/>
    <w:rsid w:val="4BB045F1"/>
    <w:rsid w:val="4BB047CA"/>
    <w:rsid w:val="4BE42E83"/>
    <w:rsid w:val="4BF8535F"/>
    <w:rsid w:val="4C0A0492"/>
    <w:rsid w:val="4C2D6F06"/>
    <w:rsid w:val="4C457E30"/>
    <w:rsid w:val="4C4920B9"/>
    <w:rsid w:val="4C675DE6"/>
    <w:rsid w:val="4C6D6BA8"/>
    <w:rsid w:val="4C943432"/>
    <w:rsid w:val="4C966935"/>
    <w:rsid w:val="4CC00B8C"/>
    <w:rsid w:val="4CC14F02"/>
    <w:rsid w:val="4CDA5E9B"/>
    <w:rsid w:val="4CE17CAE"/>
    <w:rsid w:val="4CF73CC8"/>
    <w:rsid w:val="4CFB6CC0"/>
    <w:rsid w:val="4D1F0243"/>
    <w:rsid w:val="4D3B5B37"/>
    <w:rsid w:val="4D4344CF"/>
    <w:rsid w:val="4D7B037F"/>
    <w:rsid w:val="4DDD6C4C"/>
    <w:rsid w:val="4DDF214F"/>
    <w:rsid w:val="4DEE6A5A"/>
    <w:rsid w:val="4E132B7A"/>
    <w:rsid w:val="4E287FC5"/>
    <w:rsid w:val="4E2E52BF"/>
    <w:rsid w:val="4E2F7FC4"/>
    <w:rsid w:val="4E331D51"/>
    <w:rsid w:val="4E356B94"/>
    <w:rsid w:val="4E5064BA"/>
    <w:rsid w:val="4E570B14"/>
    <w:rsid w:val="4E684914"/>
    <w:rsid w:val="4E6B74BF"/>
    <w:rsid w:val="4E96675A"/>
    <w:rsid w:val="4E995B6A"/>
    <w:rsid w:val="4EA75B36"/>
    <w:rsid w:val="4EBC40AE"/>
    <w:rsid w:val="4ECE4786"/>
    <w:rsid w:val="4ED93CB1"/>
    <w:rsid w:val="4EF95D8D"/>
    <w:rsid w:val="4EFA3BA1"/>
    <w:rsid w:val="4F1105C6"/>
    <w:rsid w:val="4F171E75"/>
    <w:rsid w:val="4F1F101A"/>
    <w:rsid w:val="4F1F1521"/>
    <w:rsid w:val="4F500D2C"/>
    <w:rsid w:val="4F5B1AE8"/>
    <w:rsid w:val="4F6E6DDB"/>
    <w:rsid w:val="4F841C47"/>
    <w:rsid w:val="4FB15F41"/>
    <w:rsid w:val="4FE87FA6"/>
    <w:rsid w:val="4FF727BF"/>
    <w:rsid w:val="50034C77"/>
    <w:rsid w:val="50051AD4"/>
    <w:rsid w:val="50054433"/>
    <w:rsid w:val="50062DD9"/>
    <w:rsid w:val="50342624"/>
    <w:rsid w:val="50716064"/>
    <w:rsid w:val="508124E8"/>
    <w:rsid w:val="50856AA3"/>
    <w:rsid w:val="509016B8"/>
    <w:rsid w:val="509706F4"/>
    <w:rsid w:val="50B31012"/>
    <w:rsid w:val="50CD4DA0"/>
    <w:rsid w:val="50D10F5C"/>
    <w:rsid w:val="51047479"/>
    <w:rsid w:val="5113062D"/>
    <w:rsid w:val="513116F1"/>
    <w:rsid w:val="514214DC"/>
    <w:rsid w:val="51462A56"/>
    <w:rsid w:val="514F046E"/>
    <w:rsid w:val="51652637"/>
    <w:rsid w:val="516A1B6C"/>
    <w:rsid w:val="516B368E"/>
    <w:rsid w:val="518741CF"/>
    <w:rsid w:val="518C4DC1"/>
    <w:rsid w:val="51900BE0"/>
    <w:rsid w:val="51B05393"/>
    <w:rsid w:val="51B1532F"/>
    <w:rsid w:val="51F3087A"/>
    <w:rsid w:val="527068D6"/>
    <w:rsid w:val="52A45529"/>
    <w:rsid w:val="52D87637"/>
    <w:rsid w:val="535426FA"/>
    <w:rsid w:val="536046EE"/>
    <w:rsid w:val="53767898"/>
    <w:rsid w:val="537B572A"/>
    <w:rsid w:val="538B4CEA"/>
    <w:rsid w:val="538F23A6"/>
    <w:rsid w:val="53961546"/>
    <w:rsid w:val="53A876CC"/>
    <w:rsid w:val="53E47250"/>
    <w:rsid w:val="54107FCA"/>
    <w:rsid w:val="541949FA"/>
    <w:rsid w:val="54331D9A"/>
    <w:rsid w:val="54643643"/>
    <w:rsid w:val="54650B9F"/>
    <w:rsid w:val="547B66F0"/>
    <w:rsid w:val="54817740"/>
    <w:rsid w:val="549103A8"/>
    <w:rsid w:val="54A30BE9"/>
    <w:rsid w:val="54CB1DAD"/>
    <w:rsid w:val="54E452C9"/>
    <w:rsid w:val="54E93193"/>
    <w:rsid w:val="54F1676A"/>
    <w:rsid w:val="54F76A4B"/>
    <w:rsid w:val="5511333F"/>
    <w:rsid w:val="5518246F"/>
    <w:rsid w:val="55432CF1"/>
    <w:rsid w:val="55620AD7"/>
    <w:rsid w:val="559262F3"/>
    <w:rsid w:val="55BA3C34"/>
    <w:rsid w:val="55DE570B"/>
    <w:rsid w:val="55DF67D3"/>
    <w:rsid w:val="55E34DF9"/>
    <w:rsid w:val="55F11C08"/>
    <w:rsid w:val="55F23DE8"/>
    <w:rsid w:val="561142D5"/>
    <w:rsid w:val="56390099"/>
    <w:rsid w:val="564704AA"/>
    <w:rsid w:val="564C5721"/>
    <w:rsid w:val="565A7FE2"/>
    <w:rsid w:val="56925D7B"/>
    <w:rsid w:val="56AD28A6"/>
    <w:rsid w:val="56C51B68"/>
    <w:rsid w:val="56EE4C04"/>
    <w:rsid w:val="570E3261"/>
    <w:rsid w:val="573434A1"/>
    <w:rsid w:val="57553696"/>
    <w:rsid w:val="57601D59"/>
    <w:rsid w:val="5774428A"/>
    <w:rsid w:val="57832E8A"/>
    <w:rsid w:val="57892BAB"/>
    <w:rsid w:val="579817A0"/>
    <w:rsid w:val="57A962DB"/>
    <w:rsid w:val="57B9078F"/>
    <w:rsid w:val="5800234B"/>
    <w:rsid w:val="58124B69"/>
    <w:rsid w:val="5813728B"/>
    <w:rsid w:val="581A6DC9"/>
    <w:rsid w:val="583E3953"/>
    <w:rsid w:val="584F1E25"/>
    <w:rsid w:val="5857707A"/>
    <w:rsid w:val="58B809CB"/>
    <w:rsid w:val="58E4697A"/>
    <w:rsid w:val="5942577F"/>
    <w:rsid w:val="59A776A2"/>
    <w:rsid w:val="59B853BE"/>
    <w:rsid w:val="59BF78C2"/>
    <w:rsid w:val="59F6445B"/>
    <w:rsid w:val="59FE3934"/>
    <w:rsid w:val="5A145AD8"/>
    <w:rsid w:val="5A6C09EB"/>
    <w:rsid w:val="5A715E71"/>
    <w:rsid w:val="5A835D8B"/>
    <w:rsid w:val="5ABB470B"/>
    <w:rsid w:val="5AC16EF5"/>
    <w:rsid w:val="5ACD26CC"/>
    <w:rsid w:val="5AE90622"/>
    <w:rsid w:val="5AF67288"/>
    <w:rsid w:val="5AFD4F1E"/>
    <w:rsid w:val="5B0C6070"/>
    <w:rsid w:val="5B1C630A"/>
    <w:rsid w:val="5B2D2ED8"/>
    <w:rsid w:val="5B2D55A0"/>
    <w:rsid w:val="5B3204AE"/>
    <w:rsid w:val="5B386B34"/>
    <w:rsid w:val="5B3E194F"/>
    <w:rsid w:val="5B57675D"/>
    <w:rsid w:val="5B864587"/>
    <w:rsid w:val="5B94144C"/>
    <w:rsid w:val="5B987DBF"/>
    <w:rsid w:val="5BB11D35"/>
    <w:rsid w:val="5BC748DC"/>
    <w:rsid w:val="5C2B06C5"/>
    <w:rsid w:val="5C441287"/>
    <w:rsid w:val="5C5E5684"/>
    <w:rsid w:val="5C760C0D"/>
    <w:rsid w:val="5C8335A7"/>
    <w:rsid w:val="5CA71295"/>
    <w:rsid w:val="5CE345F1"/>
    <w:rsid w:val="5CEC2D02"/>
    <w:rsid w:val="5D2231DC"/>
    <w:rsid w:val="5D6079ED"/>
    <w:rsid w:val="5D762C66"/>
    <w:rsid w:val="5D7673E3"/>
    <w:rsid w:val="5D9804E9"/>
    <w:rsid w:val="5D9C1821"/>
    <w:rsid w:val="5D9E690C"/>
    <w:rsid w:val="5DDC6770"/>
    <w:rsid w:val="5DEA3A9E"/>
    <w:rsid w:val="5E022CC0"/>
    <w:rsid w:val="5E0324CA"/>
    <w:rsid w:val="5E447FA1"/>
    <w:rsid w:val="5E53134F"/>
    <w:rsid w:val="5E687F55"/>
    <w:rsid w:val="5E6B69F6"/>
    <w:rsid w:val="5E7008FF"/>
    <w:rsid w:val="5E823016"/>
    <w:rsid w:val="5E82661B"/>
    <w:rsid w:val="5E917D79"/>
    <w:rsid w:val="5E924EBB"/>
    <w:rsid w:val="5EC7120B"/>
    <w:rsid w:val="5ECA5EC4"/>
    <w:rsid w:val="5EE166D0"/>
    <w:rsid w:val="5EE17E42"/>
    <w:rsid w:val="5EF430D7"/>
    <w:rsid w:val="5F13398C"/>
    <w:rsid w:val="5F895B49"/>
    <w:rsid w:val="5FAB1D25"/>
    <w:rsid w:val="5FBC4615"/>
    <w:rsid w:val="5FBF345E"/>
    <w:rsid w:val="5FF94F03"/>
    <w:rsid w:val="600F12A5"/>
    <w:rsid w:val="602D38CB"/>
    <w:rsid w:val="602F4C8B"/>
    <w:rsid w:val="604F2BE7"/>
    <w:rsid w:val="60597A2A"/>
    <w:rsid w:val="60885681"/>
    <w:rsid w:val="60A3539C"/>
    <w:rsid w:val="60BC4C41"/>
    <w:rsid w:val="60BD4988"/>
    <w:rsid w:val="60C3631B"/>
    <w:rsid w:val="60DA7A74"/>
    <w:rsid w:val="60FB7FA9"/>
    <w:rsid w:val="610750C1"/>
    <w:rsid w:val="610C5CC5"/>
    <w:rsid w:val="611C15F1"/>
    <w:rsid w:val="613A46F4"/>
    <w:rsid w:val="61580343"/>
    <w:rsid w:val="61786679"/>
    <w:rsid w:val="617C6D2F"/>
    <w:rsid w:val="61863E62"/>
    <w:rsid w:val="61FD304F"/>
    <w:rsid w:val="625E0131"/>
    <w:rsid w:val="62666AA5"/>
    <w:rsid w:val="62803628"/>
    <w:rsid w:val="628D39E4"/>
    <w:rsid w:val="62972398"/>
    <w:rsid w:val="62AC7C69"/>
    <w:rsid w:val="62D00E29"/>
    <w:rsid w:val="62D87651"/>
    <w:rsid w:val="630228FD"/>
    <w:rsid w:val="630B320C"/>
    <w:rsid w:val="630C3D17"/>
    <w:rsid w:val="631873C5"/>
    <w:rsid w:val="636176F4"/>
    <w:rsid w:val="637A1985"/>
    <w:rsid w:val="63A01501"/>
    <w:rsid w:val="63AB6AEE"/>
    <w:rsid w:val="63C713C1"/>
    <w:rsid w:val="63D91255"/>
    <w:rsid w:val="63E46730"/>
    <w:rsid w:val="63F401BA"/>
    <w:rsid w:val="63FE01DA"/>
    <w:rsid w:val="640F2219"/>
    <w:rsid w:val="6425388E"/>
    <w:rsid w:val="643911F5"/>
    <w:rsid w:val="643F4487"/>
    <w:rsid w:val="64707025"/>
    <w:rsid w:val="6491688B"/>
    <w:rsid w:val="64933922"/>
    <w:rsid w:val="64B63248"/>
    <w:rsid w:val="64C7687B"/>
    <w:rsid w:val="650E75AA"/>
    <w:rsid w:val="651842F5"/>
    <w:rsid w:val="653019BA"/>
    <w:rsid w:val="655E275C"/>
    <w:rsid w:val="6578573A"/>
    <w:rsid w:val="659433EF"/>
    <w:rsid w:val="659A6D1D"/>
    <w:rsid w:val="659C3A00"/>
    <w:rsid w:val="65AB1ACB"/>
    <w:rsid w:val="65AF365D"/>
    <w:rsid w:val="65B06CE3"/>
    <w:rsid w:val="65B5446C"/>
    <w:rsid w:val="65B57450"/>
    <w:rsid w:val="662D38B3"/>
    <w:rsid w:val="66332CCD"/>
    <w:rsid w:val="66406047"/>
    <w:rsid w:val="66486187"/>
    <w:rsid w:val="66531639"/>
    <w:rsid w:val="6663173C"/>
    <w:rsid w:val="6676058E"/>
    <w:rsid w:val="66813552"/>
    <w:rsid w:val="66B43A2B"/>
    <w:rsid w:val="66CE24D0"/>
    <w:rsid w:val="670D6C1F"/>
    <w:rsid w:val="673213DD"/>
    <w:rsid w:val="67360FEF"/>
    <w:rsid w:val="67464083"/>
    <w:rsid w:val="674F0B95"/>
    <w:rsid w:val="67C62E70"/>
    <w:rsid w:val="67C9088B"/>
    <w:rsid w:val="67CF2561"/>
    <w:rsid w:val="67E531A6"/>
    <w:rsid w:val="67E93D2B"/>
    <w:rsid w:val="68064C39"/>
    <w:rsid w:val="6814614D"/>
    <w:rsid w:val="681B172B"/>
    <w:rsid w:val="6868564C"/>
    <w:rsid w:val="687C2679"/>
    <w:rsid w:val="6889062D"/>
    <w:rsid w:val="68B327D3"/>
    <w:rsid w:val="68BA59E1"/>
    <w:rsid w:val="69446B5A"/>
    <w:rsid w:val="696D5153"/>
    <w:rsid w:val="698718B2"/>
    <w:rsid w:val="69960847"/>
    <w:rsid w:val="69AE3CF0"/>
    <w:rsid w:val="6A091C77"/>
    <w:rsid w:val="6A2764CD"/>
    <w:rsid w:val="6A3E5B5D"/>
    <w:rsid w:val="6A592B0F"/>
    <w:rsid w:val="6AC53C1D"/>
    <w:rsid w:val="6ADB2F52"/>
    <w:rsid w:val="6AFE3A84"/>
    <w:rsid w:val="6B0A76B2"/>
    <w:rsid w:val="6B7226D7"/>
    <w:rsid w:val="6B7F797E"/>
    <w:rsid w:val="6B8F5ACA"/>
    <w:rsid w:val="6B964BE4"/>
    <w:rsid w:val="6B981292"/>
    <w:rsid w:val="6BAD6E87"/>
    <w:rsid w:val="6C2823AB"/>
    <w:rsid w:val="6C4A734F"/>
    <w:rsid w:val="6C4B3BF9"/>
    <w:rsid w:val="6C60755E"/>
    <w:rsid w:val="6C720B3D"/>
    <w:rsid w:val="6C8B3AD1"/>
    <w:rsid w:val="6C8C2F42"/>
    <w:rsid w:val="6C9F4756"/>
    <w:rsid w:val="6CBA0DFF"/>
    <w:rsid w:val="6CBC13F4"/>
    <w:rsid w:val="6CC87405"/>
    <w:rsid w:val="6CD55EF8"/>
    <w:rsid w:val="6CE05EA6"/>
    <w:rsid w:val="6CF252AA"/>
    <w:rsid w:val="6CF31D94"/>
    <w:rsid w:val="6D1108A9"/>
    <w:rsid w:val="6D151A83"/>
    <w:rsid w:val="6D1D3AEC"/>
    <w:rsid w:val="6D2D29AD"/>
    <w:rsid w:val="6D2E556B"/>
    <w:rsid w:val="6D364009"/>
    <w:rsid w:val="6D3F28C7"/>
    <w:rsid w:val="6D595649"/>
    <w:rsid w:val="6D68730F"/>
    <w:rsid w:val="6D7A2AAC"/>
    <w:rsid w:val="6DA878B8"/>
    <w:rsid w:val="6DA967B5"/>
    <w:rsid w:val="6DC24E74"/>
    <w:rsid w:val="6DD35A7D"/>
    <w:rsid w:val="6DFB4C6E"/>
    <w:rsid w:val="6E1B26EE"/>
    <w:rsid w:val="6E1E0BE7"/>
    <w:rsid w:val="6E1F4E83"/>
    <w:rsid w:val="6E3A1865"/>
    <w:rsid w:val="6E6371A6"/>
    <w:rsid w:val="6E8D3C49"/>
    <w:rsid w:val="6EC12DC3"/>
    <w:rsid w:val="6ED01D59"/>
    <w:rsid w:val="6ED177DA"/>
    <w:rsid w:val="6ED9094B"/>
    <w:rsid w:val="6EE32D59"/>
    <w:rsid w:val="6F310C9E"/>
    <w:rsid w:val="6F320151"/>
    <w:rsid w:val="6F460A9E"/>
    <w:rsid w:val="6F523C7C"/>
    <w:rsid w:val="6F5A7D2E"/>
    <w:rsid w:val="6F5B313C"/>
    <w:rsid w:val="6F6C5F58"/>
    <w:rsid w:val="6F861887"/>
    <w:rsid w:val="6FCB6FB2"/>
    <w:rsid w:val="70116480"/>
    <w:rsid w:val="70214DCE"/>
    <w:rsid w:val="70237187"/>
    <w:rsid w:val="70501032"/>
    <w:rsid w:val="70670B75"/>
    <w:rsid w:val="70883B45"/>
    <w:rsid w:val="708D68DF"/>
    <w:rsid w:val="70A14CCC"/>
    <w:rsid w:val="70CD6036"/>
    <w:rsid w:val="70D031A4"/>
    <w:rsid w:val="70D66C0F"/>
    <w:rsid w:val="70F83CE8"/>
    <w:rsid w:val="71047AFA"/>
    <w:rsid w:val="712B79BA"/>
    <w:rsid w:val="712D5820"/>
    <w:rsid w:val="712F3617"/>
    <w:rsid w:val="715A15A1"/>
    <w:rsid w:val="71667985"/>
    <w:rsid w:val="719D2F98"/>
    <w:rsid w:val="71C262AB"/>
    <w:rsid w:val="71D4494F"/>
    <w:rsid w:val="71D73947"/>
    <w:rsid w:val="72072610"/>
    <w:rsid w:val="72072820"/>
    <w:rsid w:val="720D4729"/>
    <w:rsid w:val="72162E3A"/>
    <w:rsid w:val="726953C0"/>
    <w:rsid w:val="72A22A1E"/>
    <w:rsid w:val="72F3742F"/>
    <w:rsid w:val="730552FE"/>
    <w:rsid w:val="73345670"/>
    <w:rsid w:val="733A0609"/>
    <w:rsid w:val="73471774"/>
    <w:rsid w:val="736D688D"/>
    <w:rsid w:val="737A2701"/>
    <w:rsid w:val="737E1108"/>
    <w:rsid w:val="738F17ED"/>
    <w:rsid w:val="73C65CAF"/>
    <w:rsid w:val="73C8778C"/>
    <w:rsid w:val="73D90D0C"/>
    <w:rsid w:val="73F039C5"/>
    <w:rsid w:val="73F24D25"/>
    <w:rsid w:val="73FD7FE2"/>
    <w:rsid w:val="7414363E"/>
    <w:rsid w:val="741B228B"/>
    <w:rsid w:val="742E7C8C"/>
    <w:rsid w:val="743746F8"/>
    <w:rsid w:val="74CF77B0"/>
    <w:rsid w:val="74DF584C"/>
    <w:rsid w:val="74EE4DF0"/>
    <w:rsid w:val="74F25D53"/>
    <w:rsid w:val="750E123C"/>
    <w:rsid w:val="75112810"/>
    <w:rsid w:val="751533C1"/>
    <w:rsid w:val="75275380"/>
    <w:rsid w:val="754C6EB9"/>
    <w:rsid w:val="756F18B8"/>
    <w:rsid w:val="75710D27"/>
    <w:rsid w:val="75845177"/>
    <w:rsid w:val="75B545AA"/>
    <w:rsid w:val="75CE08FD"/>
    <w:rsid w:val="760C2A3B"/>
    <w:rsid w:val="76311976"/>
    <w:rsid w:val="76463C42"/>
    <w:rsid w:val="76473F4B"/>
    <w:rsid w:val="764A4A9E"/>
    <w:rsid w:val="767B592C"/>
    <w:rsid w:val="76C47036"/>
    <w:rsid w:val="76D05FFC"/>
    <w:rsid w:val="76DB18D3"/>
    <w:rsid w:val="772B5411"/>
    <w:rsid w:val="773D0BAE"/>
    <w:rsid w:val="77597F41"/>
    <w:rsid w:val="777045DD"/>
    <w:rsid w:val="77AC16BE"/>
    <w:rsid w:val="77C81A5B"/>
    <w:rsid w:val="77D9100D"/>
    <w:rsid w:val="77E84954"/>
    <w:rsid w:val="77F851DA"/>
    <w:rsid w:val="782D5F38"/>
    <w:rsid w:val="786E65D9"/>
    <w:rsid w:val="78724AF4"/>
    <w:rsid w:val="78786C72"/>
    <w:rsid w:val="78905FDD"/>
    <w:rsid w:val="78942E80"/>
    <w:rsid w:val="78CE1E75"/>
    <w:rsid w:val="78DD6F9F"/>
    <w:rsid w:val="78EE0575"/>
    <w:rsid w:val="78F81EEF"/>
    <w:rsid w:val="78FD0B8F"/>
    <w:rsid w:val="79240A4F"/>
    <w:rsid w:val="792432DA"/>
    <w:rsid w:val="79287455"/>
    <w:rsid w:val="797A39DC"/>
    <w:rsid w:val="799257FF"/>
    <w:rsid w:val="79A83226"/>
    <w:rsid w:val="79F14B32"/>
    <w:rsid w:val="79F53325"/>
    <w:rsid w:val="7A241220"/>
    <w:rsid w:val="7A333E2C"/>
    <w:rsid w:val="7A5E4769"/>
    <w:rsid w:val="7AAD6BC6"/>
    <w:rsid w:val="7AB22202"/>
    <w:rsid w:val="7AB40845"/>
    <w:rsid w:val="7AB65962"/>
    <w:rsid w:val="7ABC74AA"/>
    <w:rsid w:val="7AE8641A"/>
    <w:rsid w:val="7B03467F"/>
    <w:rsid w:val="7B1103F3"/>
    <w:rsid w:val="7B5C3B71"/>
    <w:rsid w:val="7B611BF2"/>
    <w:rsid w:val="7B6312FE"/>
    <w:rsid w:val="7BA03361"/>
    <w:rsid w:val="7BC17119"/>
    <w:rsid w:val="7BC9178D"/>
    <w:rsid w:val="7BCE69BC"/>
    <w:rsid w:val="7BE42B51"/>
    <w:rsid w:val="7BEB5B81"/>
    <w:rsid w:val="7BF44CE8"/>
    <w:rsid w:val="7C106E98"/>
    <w:rsid w:val="7C1A5229"/>
    <w:rsid w:val="7C3051CE"/>
    <w:rsid w:val="7C570ED0"/>
    <w:rsid w:val="7C5E4A19"/>
    <w:rsid w:val="7C772FB8"/>
    <w:rsid w:val="7D2456DB"/>
    <w:rsid w:val="7D26538E"/>
    <w:rsid w:val="7D5C294A"/>
    <w:rsid w:val="7D603342"/>
    <w:rsid w:val="7D860A2D"/>
    <w:rsid w:val="7D8A0903"/>
    <w:rsid w:val="7DC81A6D"/>
    <w:rsid w:val="7DDF65BF"/>
    <w:rsid w:val="7DE26D93"/>
    <w:rsid w:val="7DF612B7"/>
    <w:rsid w:val="7E046A22"/>
    <w:rsid w:val="7E222D4A"/>
    <w:rsid w:val="7E2B428E"/>
    <w:rsid w:val="7E3D2F53"/>
    <w:rsid w:val="7E452D61"/>
    <w:rsid w:val="7E6C580B"/>
    <w:rsid w:val="7E756F45"/>
    <w:rsid w:val="7EB700CB"/>
    <w:rsid w:val="7EBF0D00"/>
    <w:rsid w:val="7EC745A3"/>
    <w:rsid w:val="7EC82007"/>
    <w:rsid w:val="7F16106F"/>
    <w:rsid w:val="7F195882"/>
    <w:rsid w:val="7F634305"/>
    <w:rsid w:val="7F8D4850"/>
    <w:rsid w:val="7F99445D"/>
    <w:rsid w:val="7FAB755B"/>
    <w:rsid w:val="7FB97291"/>
    <w:rsid w:val="7FCF43C0"/>
    <w:rsid w:val="7FE92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iPriority="99" w:semiHidden="0" w:name="footnote text"/>
    <w:lsdException w:qFormat="1" w:uiPriority="0"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semiHidden="0"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560" w:firstLineChars="200"/>
      <w:jc w:val="both"/>
    </w:pPr>
    <w:rPr>
      <w:rFonts w:ascii="Times New Roman" w:hAnsi="Times New Roman" w:eastAsia="仿宋_GB2312" w:cs="Times New Roman"/>
      <w:snapToGrid w:val="0"/>
      <w:kern w:val="2"/>
      <w:sz w:val="28"/>
      <w:szCs w:val="18"/>
      <w:lang w:val="en-US" w:eastAsia="zh-CN" w:bidi="ar-SA"/>
    </w:rPr>
  </w:style>
  <w:style w:type="paragraph" w:styleId="2">
    <w:name w:val="heading 1"/>
    <w:basedOn w:val="1"/>
    <w:next w:val="1"/>
    <w:link w:val="48"/>
    <w:qFormat/>
    <w:uiPriority w:val="9"/>
    <w:pPr>
      <w:keepNext/>
      <w:keepLines/>
      <w:ind w:firstLine="0" w:firstLineChars="0"/>
      <w:outlineLvl w:val="0"/>
    </w:pPr>
    <w:rPr>
      <w:rFonts w:eastAsia="宋体"/>
      <w:b/>
      <w:snapToGrid/>
      <w:kern w:val="44"/>
      <w:sz w:val="32"/>
      <w:szCs w:val="20"/>
    </w:rPr>
  </w:style>
  <w:style w:type="paragraph" w:styleId="3">
    <w:name w:val="heading 2"/>
    <w:basedOn w:val="1"/>
    <w:next w:val="1"/>
    <w:link w:val="44"/>
    <w:qFormat/>
    <w:uiPriority w:val="0"/>
    <w:pPr>
      <w:keepNext/>
      <w:keepLines/>
      <w:ind w:firstLine="0" w:firstLineChars="0"/>
      <w:outlineLvl w:val="1"/>
    </w:pPr>
    <w:rPr>
      <w:rFonts w:ascii="Arial" w:hAnsi="Arial" w:eastAsia="宋体"/>
      <w:b/>
      <w:snapToGrid/>
      <w:kern w:val="0"/>
      <w:sz w:val="30"/>
      <w:szCs w:val="20"/>
    </w:rPr>
  </w:style>
  <w:style w:type="paragraph" w:styleId="4">
    <w:name w:val="heading 3"/>
    <w:basedOn w:val="1"/>
    <w:next w:val="1"/>
    <w:qFormat/>
    <w:uiPriority w:val="9"/>
    <w:pPr>
      <w:keepNext/>
      <w:keepLines/>
      <w:ind w:firstLine="0" w:firstLineChars="0"/>
      <w:outlineLvl w:val="2"/>
    </w:pPr>
    <w:rPr>
      <w:rFonts w:eastAsia="宋体"/>
      <w:b/>
    </w:rPr>
  </w:style>
  <w:style w:type="paragraph" w:styleId="5">
    <w:name w:val="heading 4"/>
    <w:basedOn w:val="1"/>
    <w:next w:val="1"/>
    <w:link w:val="49"/>
    <w:qFormat/>
    <w:uiPriority w:val="0"/>
    <w:pPr>
      <w:keepNext/>
      <w:keepLines/>
      <w:spacing w:before="280" w:after="290" w:line="376" w:lineRule="auto"/>
      <w:outlineLvl w:val="3"/>
    </w:pPr>
    <w:rPr>
      <w:rFonts w:ascii="Arial" w:hAnsi="Arial" w:eastAsia="黑体"/>
      <w:b/>
      <w:bCs/>
      <w:szCs w:val="28"/>
    </w:rPr>
  </w:style>
  <w:style w:type="paragraph" w:styleId="6">
    <w:name w:val="heading 8"/>
    <w:basedOn w:val="1"/>
    <w:next w:val="1"/>
    <w:link w:val="82"/>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2520" w:leftChars="1200"/>
    </w:pPr>
  </w:style>
  <w:style w:type="paragraph" w:styleId="8">
    <w:name w:val="Normal Indent"/>
    <w:basedOn w:val="1"/>
    <w:qFormat/>
    <w:uiPriority w:val="99"/>
    <w:pPr>
      <w:adjustRightInd w:val="0"/>
      <w:ind w:firstLine="200"/>
      <w:textAlignment w:val="baseline"/>
    </w:pPr>
    <w:rPr>
      <w:rFonts w:eastAsia="宋体" w:cs="黑体"/>
      <w:snapToGrid/>
      <w:szCs w:val="24"/>
    </w:rPr>
  </w:style>
  <w:style w:type="paragraph" w:styleId="9">
    <w:name w:val="Document Map"/>
    <w:basedOn w:val="1"/>
    <w:link w:val="41"/>
    <w:unhideWhenUsed/>
    <w:qFormat/>
    <w:uiPriority w:val="99"/>
    <w:rPr>
      <w:rFonts w:ascii="宋体" w:eastAsia="宋体"/>
      <w:sz w:val="18"/>
    </w:rPr>
  </w:style>
  <w:style w:type="paragraph" w:styleId="10">
    <w:name w:val="annotation text"/>
    <w:basedOn w:val="1"/>
    <w:link w:val="40"/>
    <w:unhideWhenUsed/>
    <w:qFormat/>
    <w:uiPriority w:val="0"/>
    <w:pPr>
      <w:jc w:val="left"/>
    </w:pPr>
  </w:style>
  <w:style w:type="paragraph" w:styleId="11">
    <w:name w:val="Body Text"/>
    <w:basedOn w:val="1"/>
    <w:link w:val="61"/>
    <w:unhideWhenUsed/>
    <w:qFormat/>
    <w:uiPriority w:val="99"/>
    <w:pPr>
      <w:widowControl/>
      <w:jc w:val="left"/>
    </w:pPr>
    <w:rPr>
      <w:kern w:val="0"/>
      <w:lang w:val="en-GB" w:eastAsia="nb-NO"/>
    </w:rPr>
  </w:style>
  <w:style w:type="paragraph" w:styleId="12">
    <w:name w:val="toc 5"/>
    <w:basedOn w:val="1"/>
    <w:next w:val="1"/>
    <w:unhideWhenUsed/>
    <w:qFormat/>
    <w:uiPriority w:val="39"/>
    <w:pPr>
      <w:ind w:left="1680" w:leftChars="800"/>
    </w:pPr>
  </w:style>
  <w:style w:type="paragraph" w:styleId="13">
    <w:name w:val="toc 3"/>
    <w:basedOn w:val="1"/>
    <w:next w:val="1"/>
    <w:unhideWhenUsed/>
    <w:qFormat/>
    <w:uiPriority w:val="39"/>
    <w:pPr>
      <w:ind w:left="840" w:leftChars="400"/>
    </w:pPr>
  </w:style>
  <w:style w:type="paragraph" w:styleId="14">
    <w:name w:val="toc 8"/>
    <w:basedOn w:val="1"/>
    <w:next w:val="1"/>
    <w:unhideWhenUsed/>
    <w:qFormat/>
    <w:uiPriority w:val="39"/>
    <w:pPr>
      <w:ind w:left="2940" w:leftChars="1400"/>
    </w:pPr>
  </w:style>
  <w:style w:type="paragraph" w:styleId="15">
    <w:name w:val="Balloon Text"/>
    <w:basedOn w:val="1"/>
    <w:link w:val="37"/>
    <w:unhideWhenUsed/>
    <w:qFormat/>
    <w:uiPriority w:val="99"/>
    <w:rPr>
      <w:rFonts w:eastAsia="宋体"/>
      <w:snapToGrid/>
      <w:sz w:val="18"/>
    </w:rPr>
  </w:style>
  <w:style w:type="paragraph" w:styleId="16">
    <w:name w:val="footer"/>
    <w:basedOn w:val="1"/>
    <w:link w:val="50"/>
    <w:unhideWhenUsed/>
    <w:qFormat/>
    <w:uiPriority w:val="0"/>
    <w:pPr>
      <w:tabs>
        <w:tab w:val="center" w:pos="4153"/>
        <w:tab w:val="right" w:pos="8306"/>
      </w:tabs>
      <w:snapToGrid w:val="0"/>
      <w:jc w:val="left"/>
    </w:pPr>
    <w:rPr>
      <w:snapToGrid/>
      <w:sz w:val="18"/>
    </w:rPr>
  </w:style>
  <w:style w:type="paragraph" w:styleId="17">
    <w:name w:val="header"/>
    <w:basedOn w:val="1"/>
    <w:link w:val="55"/>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napToGrid/>
      <w:sz w:val="18"/>
    </w:rPr>
  </w:style>
  <w:style w:type="paragraph" w:styleId="18">
    <w:name w:val="toc 1"/>
    <w:basedOn w:val="1"/>
    <w:next w:val="1"/>
    <w:unhideWhenUsed/>
    <w:qFormat/>
    <w:uiPriority w:val="39"/>
  </w:style>
  <w:style w:type="paragraph" w:styleId="19">
    <w:name w:val="toc 4"/>
    <w:basedOn w:val="1"/>
    <w:next w:val="1"/>
    <w:unhideWhenUsed/>
    <w:qFormat/>
    <w:uiPriority w:val="39"/>
    <w:pPr>
      <w:ind w:left="1260" w:leftChars="600"/>
    </w:pPr>
  </w:style>
  <w:style w:type="paragraph" w:styleId="20">
    <w:name w:val="footnote text"/>
    <w:basedOn w:val="1"/>
    <w:link w:val="43"/>
    <w:unhideWhenUsed/>
    <w:qFormat/>
    <w:uiPriority w:val="99"/>
    <w:pPr>
      <w:snapToGrid w:val="0"/>
      <w:jc w:val="left"/>
    </w:pPr>
    <w:rPr>
      <w:snapToGrid/>
      <w:sz w:val="18"/>
    </w:rPr>
  </w:style>
  <w:style w:type="paragraph" w:styleId="21">
    <w:name w:val="toc 6"/>
    <w:basedOn w:val="1"/>
    <w:next w:val="1"/>
    <w:unhideWhenUsed/>
    <w:qFormat/>
    <w:uiPriority w:val="39"/>
    <w:pPr>
      <w:ind w:left="2100" w:leftChars="1000"/>
    </w:pPr>
  </w:style>
  <w:style w:type="paragraph" w:styleId="22">
    <w:name w:val="toc 2"/>
    <w:basedOn w:val="1"/>
    <w:next w:val="1"/>
    <w:unhideWhenUsed/>
    <w:qFormat/>
    <w:uiPriority w:val="39"/>
    <w:pPr>
      <w:ind w:left="420" w:leftChars="200"/>
    </w:pPr>
  </w:style>
  <w:style w:type="paragraph" w:styleId="23">
    <w:name w:val="toc 9"/>
    <w:basedOn w:val="1"/>
    <w:next w:val="1"/>
    <w:unhideWhenUsed/>
    <w:qFormat/>
    <w:uiPriority w:val="39"/>
    <w:pPr>
      <w:ind w:left="3360" w:leftChars="1600"/>
    </w:pPr>
  </w:style>
  <w:style w:type="paragraph" w:styleId="24">
    <w:name w:val="Normal (Web)"/>
    <w:basedOn w:val="1"/>
    <w:unhideWhenUsed/>
    <w:qFormat/>
    <w:uiPriority w:val="99"/>
    <w:pPr>
      <w:spacing w:before="100" w:beforeAutospacing="1" w:after="100" w:afterAutospacing="1"/>
      <w:jc w:val="left"/>
    </w:pPr>
    <w:rPr>
      <w:kern w:val="0"/>
      <w:sz w:val="24"/>
    </w:rPr>
  </w:style>
  <w:style w:type="paragraph" w:styleId="25">
    <w:name w:val="Title"/>
    <w:basedOn w:val="1"/>
    <w:next w:val="1"/>
    <w:qFormat/>
    <w:uiPriority w:val="10"/>
    <w:pPr>
      <w:ind w:firstLine="0" w:firstLineChars="0"/>
      <w:jc w:val="left"/>
      <w:outlineLvl w:val="2"/>
    </w:pPr>
    <w:rPr>
      <w:rFonts w:ascii="Calibri Light" w:hAnsi="Calibri Light"/>
      <w:b/>
      <w:bCs/>
      <w:szCs w:val="32"/>
    </w:rPr>
  </w:style>
  <w:style w:type="paragraph" w:styleId="26">
    <w:name w:val="annotation subject"/>
    <w:basedOn w:val="10"/>
    <w:next w:val="10"/>
    <w:link w:val="42"/>
    <w:unhideWhenUsed/>
    <w:qFormat/>
    <w:uiPriority w:val="99"/>
    <w:rPr>
      <w:b/>
      <w:bCs/>
    </w:rPr>
  </w:style>
  <w:style w:type="table" w:styleId="28">
    <w:name w:val="Table Grid"/>
    <w:basedOn w:val="27"/>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FollowedHyperlink"/>
    <w:unhideWhenUsed/>
    <w:qFormat/>
    <w:uiPriority w:val="99"/>
    <w:rPr>
      <w:color w:val="800080"/>
      <w:u w:val="single"/>
    </w:rPr>
  </w:style>
  <w:style w:type="character" w:styleId="31">
    <w:name w:val="Emphasis"/>
    <w:qFormat/>
    <w:uiPriority w:val="0"/>
    <w:rPr>
      <w:i/>
      <w:iCs/>
    </w:rPr>
  </w:style>
  <w:style w:type="character" w:styleId="32">
    <w:name w:val="Hyperlink"/>
    <w:unhideWhenUsed/>
    <w:qFormat/>
    <w:uiPriority w:val="99"/>
    <w:rPr>
      <w:color w:val="0000FF"/>
      <w:u w:val="single"/>
    </w:rPr>
  </w:style>
  <w:style w:type="character" w:styleId="33">
    <w:name w:val="annotation reference"/>
    <w:unhideWhenUsed/>
    <w:qFormat/>
    <w:uiPriority w:val="0"/>
    <w:rPr>
      <w:sz w:val="21"/>
      <w:szCs w:val="21"/>
    </w:rPr>
  </w:style>
  <w:style w:type="character" w:styleId="34">
    <w:name w:val="footnote reference"/>
    <w:unhideWhenUsed/>
    <w:qFormat/>
    <w:uiPriority w:val="0"/>
    <w:rPr>
      <w:vertAlign w:val="superscript"/>
    </w:rPr>
  </w:style>
  <w:style w:type="character" w:customStyle="1" w:styleId="35">
    <w:name w:val="font11"/>
    <w:qFormat/>
    <w:uiPriority w:val="0"/>
    <w:rPr>
      <w:rFonts w:hint="default" w:ascii="Times New Roman" w:hAnsi="Times New Roman" w:cs="Times New Roman"/>
      <w:color w:val="000000"/>
      <w:sz w:val="24"/>
      <w:szCs w:val="24"/>
      <w:u w:val="none"/>
      <w:vertAlign w:val="subscript"/>
    </w:rPr>
  </w:style>
  <w:style w:type="character" w:customStyle="1" w:styleId="36">
    <w:name w:val="font61"/>
    <w:qFormat/>
    <w:uiPriority w:val="0"/>
    <w:rPr>
      <w:rFonts w:hint="default" w:ascii="Times New Roman" w:hAnsi="Times New Roman" w:cs="Times New Roman"/>
      <w:color w:val="000000"/>
      <w:sz w:val="21"/>
      <w:szCs w:val="21"/>
      <w:u w:val="none"/>
    </w:rPr>
  </w:style>
  <w:style w:type="character" w:customStyle="1" w:styleId="37">
    <w:name w:val="批注框文本 Char"/>
    <w:link w:val="15"/>
    <w:semiHidden/>
    <w:qFormat/>
    <w:uiPriority w:val="99"/>
    <w:rPr>
      <w:snapToGrid/>
      <w:kern w:val="2"/>
      <w:sz w:val="18"/>
      <w:szCs w:val="18"/>
    </w:rPr>
  </w:style>
  <w:style w:type="character" w:customStyle="1" w:styleId="38">
    <w:name w:val="font31"/>
    <w:qFormat/>
    <w:uiPriority w:val="0"/>
    <w:rPr>
      <w:rFonts w:ascii="楷体" w:hAnsi="楷体" w:eastAsia="楷体" w:cs="楷体"/>
      <w:b/>
      <w:color w:val="000000"/>
      <w:sz w:val="24"/>
      <w:szCs w:val="24"/>
      <w:u w:val="none"/>
    </w:rPr>
  </w:style>
  <w:style w:type="character" w:customStyle="1" w:styleId="39">
    <w:name w:val="font71"/>
    <w:qFormat/>
    <w:uiPriority w:val="0"/>
    <w:rPr>
      <w:rFonts w:hint="eastAsia" w:ascii="楷体" w:hAnsi="楷体" w:eastAsia="楷体" w:cs="楷体"/>
      <w:color w:val="000000"/>
      <w:sz w:val="21"/>
      <w:szCs w:val="21"/>
      <w:u w:val="none"/>
    </w:rPr>
  </w:style>
  <w:style w:type="character" w:customStyle="1" w:styleId="40">
    <w:name w:val="批注文字 Char"/>
    <w:link w:val="10"/>
    <w:qFormat/>
    <w:uiPriority w:val="0"/>
    <w:rPr>
      <w:rFonts w:eastAsia="仿宋_GB2312"/>
      <w:snapToGrid w:val="0"/>
      <w:kern w:val="2"/>
      <w:sz w:val="28"/>
      <w:szCs w:val="18"/>
    </w:rPr>
  </w:style>
  <w:style w:type="character" w:customStyle="1" w:styleId="41">
    <w:name w:val="文档结构图 Char"/>
    <w:link w:val="9"/>
    <w:semiHidden/>
    <w:qFormat/>
    <w:uiPriority w:val="99"/>
    <w:rPr>
      <w:rFonts w:ascii="宋体"/>
      <w:snapToGrid w:val="0"/>
      <w:kern w:val="2"/>
      <w:sz w:val="18"/>
      <w:szCs w:val="18"/>
    </w:rPr>
  </w:style>
  <w:style w:type="character" w:customStyle="1" w:styleId="42">
    <w:name w:val="批注主题 Char"/>
    <w:basedOn w:val="40"/>
    <w:link w:val="26"/>
    <w:qFormat/>
    <w:uiPriority w:val="99"/>
  </w:style>
  <w:style w:type="character" w:customStyle="1" w:styleId="43">
    <w:name w:val="脚注文本 Char"/>
    <w:link w:val="20"/>
    <w:qFormat/>
    <w:uiPriority w:val="99"/>
    <w:rPr>
      <w:rFonts w:eastAsia="仿宋_GB2312"/>
      <w:snapToGrid/>
      <w:kern w:val="2"/>
      <w:sz w:val="18"/>
      <w:szCs w:val="18"/>
    </w:rPr>
  </w:style>
  <w:style w:type="character" w:customStyle="1" w:styleId="44">
    <w:name w:val="标题 2 Char"/>
    <w:link w:val="3"/>
    <w:qFormat/>
    <w:uiPriority w:val="0"/>
    <w:rPr>
      <w:rFonts w:ascii="Arial" w:hAnsi="Arial" w:eastAsia="宋体"/>
      <w:b/>
      <w:sz w:val="30"/>
    </w:rPr>
  </w:style>
  <w:style w:type="character" w:customStyle="1" w:styleId="45">
    <w:name w:val="图题表题 字符"/>
    <w:link w:val="46"/>
    <w:qFormat/>
    <w:locked/>
    <w:uiPriority w:val="0"/>
    <w:rPr>
      <w:rFonts w:eastAsia="微软雅黑"/>
      <w:b/>
      <w:sz w:val="24"/>
    </w:rPr>
  </w:style>
  <w:style w:type="paragraph" w:customStyle="1" w:styleId="46">
    <w:name w:val="图题表题"/>
    <w:basedOn w:val="1"/>
    <w:link w:val="45"/>
    <w:qFormat/>
    <w:uiPriority w:val="0"/>
    <w:pPr>
      <w:adjustRightInd w:val="0"/>
      <w:ind w:firstLine="0" w:firstLineChars="0"/>
      <w:jc w:val="center"/>
      <w:textAlignment w:val="baseline"/>
    </w:pPr>
    <w:rPr>
      <w:rFonts w:eastAsia="微软雅黑"/>
      <w:b/>
      <w:snapToGrid/>
      <w:kern w:val="0"/>
      <w:sz w:val="24"/>
      <w:szCs w:val="20"/>
    </w:rPr>
  </w:style>
  <w:style w:type="character" w:customStyle="1" w:styleId="47">
    <w:name w:val="font41"/>
    <w:qFormat/>
    <w:uiPriority w:val="0"/>
    <w:rPr>
      <w:rFonts w:hint="default" w:ascii="Times New Roman" w:hAnsi="Times New Roman" w:cs="Times New Roman"/>
      <w:color w:val="000000"/>
      <w:sz w:val="24"/>
      <w:szCs w:val="24"/>
      <w:u w:val="none"/>
    </w:rPr>
  </w:style>
  <w:style w:type="character" w:customStyle="1" w:styleId="48">
    <w:name w:val="标题 1 Char"/>
    <w:link w:val="2"/>
    <w:qFormat/>
    <w:uiPriority w:val="9"/>
    <w:rPr>
      <w:rFonts w:ascii="Times New Roman" w:hAnsi="Times New Roman" w:eastAsia="宋体"/>
      <w:b/>
      <w:kern w:val="44"/>
      <w:sz w:val="32"/>
    </w:rPr>
  </w:style>
  <w:style w:type="character" w:customStyle="1" w:styleId="49">
    <w:name w:val="标题 4 Char"/>
    <w:link w:val="5"/>
    <w:qFormat/>
    <w:uiPriority w:val="0"/>
    <w:rPr>
      <w:rFonts w:ascii="Arial" w:hAnsi="Arial" w:eastAsia="黑体"/>
      <w:b/>
      <w:bCs/>
      <w:snapToGrid w:val="0"/>
      <w:kern w:val="2"/>
      <w:sz w:val="28"/>
      <w:szCs w:val="28"/>
    </w:rPr>
  </w:style>
  <w:style w:type="character" w:customStyle="1" w:styleId="50">
    <w:name w:val="页脚 Char"/>
    <w:link w:val="16"/>
    <w:qFormat/>
    <w:uiPriority w:val="0"/>
    <w:rPr>
      <w:rFonts w:eastAsia="仿宋_GB2312"/>
      <w:snapToGrid/>
      <w:kern w:val="2"/>
      <w:sz w:val="18"/>
      <w:szCs w:val="18"/>
    </w:rPr>
  </w:style>
  <w:style w:type="character" w:customStyle="1" w:styleId="51">
    <w:name w:val="批注框文本 Char Char Char Char"/>
    <w:link w:val="52"/>
    <w:qFormat/>
    <w:locked/>
    <w:uiPriority w:val="0"/>
    <w:rPr>
      <w:rFonts w:ascii="Calibri" w:hAnsi="Calibri"/>
      <w:kern w:val="2"/>
      <w:sz w:val="18"/>
      <w:szCs w:val="18"/>
    </w:rPr>
  </w:style>
  <w:style w:type="paragraph" w:customStyle="1" w:styleId="52">
    <w:name w:val="批注框文本 Char Char"/>
    <w:basedOn w:val="1"/>
    <w:link w:val="51"/>
    <w:qFormat/>
    <w:uiPriority w:val="0"/>
    <w:pPr>
      <w:spacing w:line="240" w:lineRule="auto"/>
      <w:ind w:firstLine="0" w:firstLineChars="0"/>
    </w:pPr>
    <w:rPr>
      <w:rFonts w:ascii="Calibri" w:hAnsi="Calibri" w:eastAsia="宋体"/>
      <w:snapToGrid/>
      <w:sz w:val="18"/>
    </w:rPr>
  </w:style>
  <w:style w:type="character" w:customStyle="1" w:styleId="53">
    <w:name w:val="页脚 字符"/>
    <w:qFormat/>
    <w:uiPriority w:val="99"/>
  </w:style>
  <w:style w:type="character" w:customStyle="1" w:styleId="54">
    <w:name w:val="font21"/>
    <w:qFormat/>
    <w:uiPriority w:val="0"/>
    <w:rPr>
      <w:rFonts w:hint="eastAsia" w:ascii="楷体" w:hAnsi="楷体" w:eastAsia="楷体" w:cs="楷体"/>
      <w:color w:val="000000"/>
      <w:sz w:val="24"/>
      <w:szCs w:val="24"/>
      <w:u w:val="none"/>
    </w:rPr>
  </w:style>
  <w:style w:type="character" w:customStyle="1" w:styleId="55">
    <w:name w:val="页眉 Char1"/>
    <w:link w:val="17"/>
    <w:qFormat/>
    <w:uiPriority w:val="99"/>
    <w:rPr>
      <w:rFonts w:eastAsia="仿宋_GB2312"/>
      <w:snapToGrid/>
      <w:kern w:val="2"/>
      <w:sz w:val="18"/>
      <w:szCs w:val="18"/>
    </w:rPr>
  </w:style>
  <w:style w:type="character" w:customStyle="1" w:styleId="56">
    <w:name w:val="font01"/>
    <w:qFormat/>
    <w:uiPriority w:val="0"/>
    <w:rPr>
      <w:rFonts w:hint="default" w:ascii="Times New Roman" w:hAnsi="Times New Roman" w:cs="Times New Roman"/>
      <w:color w:val="000000"/>
      <w:sz w:val="21"/>
      <w:szCs w:val="21"/>
      <w:u w:val="none"/>
    </w:rPr>
  </w:style>
  <w:style w:type="character" w:customStyle="1" w:styleId="57">
    <w:name w:val="页眉 Char"/>
    <w:qFormat/>
    <w:locked/>
    <w:uiPriority w:val="0"/>
    <w:rPr>
      <w:rFonts w:eastAsia="仿宋_GB2312"/>
      <w:snapToGrid w:val="0"/>
      <w:kern w:val="2"/>
      <w:sz w:val="18"/>
      <w:szCs w:val="18"/>
      <w:lang w:val="en-US" w:eastAsia="zh-CN" w:bidi="ar-SA"/>
    </w:rPr>
  </w:style>
  <w:style w:type="character" w:customStyle="1" w:styleId="58">
    <w:name w:val="font91"/>
    <w:qFormat/>
    <w:uiPriority w:val="0"/>
    <w:rPr>
      <w:rFonts w:hint="default" w:ascii="Times New Roman" w:hAnsi="Times New Roman" w:cs="Times New Roman"/>
      <w:b/>
      <w:color w:val="000000"/>
      <w:sz w:val="24"/>
      <w:szCs w:val="24"/>
      <w:u w:val="none"/>
    </w:rPr>
  </w:style>
  <w:style w:type="character" w:customStyle="1" w:styleId="59">
    <w:name w:val="font81"/>
    <w:qFormat/>
    <w:uiPriority w:val="0"/>
    <w:rPr>
      <w:rFonts w:hint="default" w:ascii="Times New Roman" w:hAnsi="Times New Roman" w:cs="Times New Roman"/>
      <w:color w:val="000000"/>
      <w:sz w:val="24"/>
      <w:szCs w:val="24"/>
      <w:u w:val="none"/>
      <w:vertAlign w:val="subscript"/>
    </w:rPr>
  </w:style>
  <w:style w:type="character" w:customStyle="1" w:styleId="60">
    <w:name w:val="font101"/>
    <w:qFormat/>
    <w:uiPriority w:val="0"/>
    <w:rPr>
      <w:rFonts w:ascii="方正仿宋_GBK" w:hAnsi="方正仿宋_GBK" w:eastAsia="方正仿宋_GBK" w:cs="方正仿宋_GBK"/>
      <w:color w:val="000000"/>
      <w:sz w:val="21"/>
      <w:szCs w:val="21"/>
      <w:u w:val="none"/>
    </w:rPr>
  </w:style>
  <w:style w:type="character" w:customStyle="1" w:styleId="61">
    <w:name w:val="正文文本 Char"/>
    <w:link w:val="11"/>
    <w:qFormat/>
    <w:uiPriority w:val="99"/>
    <w:rPr>
      <w:rFonts w:eastAsia="仿宋_GB2312"/>
      <w:snapToGrid w:val="0"/>
      <w:sz w:val="28"/>
      <w:szCs w:val="18"/>
      <w:lang w:val="en-GB" w:eastAsia="nb-NO"/>
    </w:rPr>
  </w:style>
  <w:style w:type="paragraph" w:customStyle="1" w:styleId="6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63">
    <w:name w:val="表头"/>
    <w:basedOn w:val="1"/>
    <w:qFormat/>
    <w:uiPriority w:val="0"/>
    <w:pPr>
      <w:spacing w:line="240" w:lineRule="auto"/>
      <w:ind w:firstLine="0" w:firstLineChars="0"/>
      <w:jc w:val="center"/>
    </w:pPr>
    <w:rPr>
      <w:b/>
      <w:szCs w:val="28"/>
    </w:rPr>
  </w:style>
  <w:style w:type="paragraph" w:customStyle="1" w:styleId="64">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65">
    <w:name w:val="列出段落1"/>
    <w:basedOn w:val="1"/>
    <w:qFormat/>
    <w:uiPriority w:val="0"/>
    <w:pPr>
      <w:ind w:firstLine="420"/>
    </w:pPr>
  </w:style>
  <w:style w:type="paragraph" w:customStyle="1" w:styleId="66">
    <w:name w:val="表格内容"/>
    <w:basedOn w:val="1"/>
    <w:qFormat/>
    <w:uiPriority w:val="0"/>
    <w:pPr>
      <w:adjustRightInd w:val="0"/>
      <w:spacing w:line="240" w:lineRule="auto"/>
      <w:ind w:firstLine="0" w:firstLineChars="0"/>
      <w:jc w:val="center"/>
      <w:textAlignment w:val="baseline"/>
    </w:pPr>
    <w:rPr>
      <w:rFonts w:eastAsia="楷体"/>
      <w:sz w:val="24"/>
    </w:rPr>
  </w:style>
  <w:style w:type="paragraph" w:customStyle="1" w:styleId="67">
    <w:name w:val="WPSOffice手动目录 1"/>
    <w:qFormat/>
    <w:uiPriority w:val="0"/>
    <w:rPr>
      <w:rFonts w:ascii="Times New Roman" w:hAnsi="Times New Roman" w:eastAsia="宋体" w:cs="Times New Roman"/>
      <w:lang w:val="en-US" w:eastAsia="zh-CN" w:bidi="ar-SA"/>
    </w:rPr>
  </w:style>
  <w:style w:type="paragraph" w:customStyle="1" w:styleId="68">
    <w:name w:val="TOC Heading"/>
    <w:basedOn w:val="2"/>
    <w:next w:val="1"/>
    <w:qFormat/>
    <w:uiPriority w:val="39"/>
    <w:pPr>
      <w:widowControl/>
      <w:spacing w:before="480" w:line="276" w:lineRule="auto"/>
      <w:jc w:val="left"/>
      <w:outlineLvl w:val="9"/>
    </w:pPr>
    <w:rPr>
      <w:rFonts w:ascii="Cambria" w:hAnsi="Cambria"/>
      <w:bCs/>
      <w:color w:val="365F91"/>
      <w:kern w:val="0"/>
      <w:sz w:val="28"/>
      <w:szCs w:val="28"/>
    </w:rPr>
  </w:style>
  <w:style w:type="paragraph" w:customStyle="1" w:styleId="69">
    <w:name w:val="TOC 标题1"/>
    <w:basedOn w:val="1"/>
    <w:next w:val="1"/>
    <w:qFormat/>
    <w:uiPriority w:val="0"/>
    <w:pPr>
      <w:adjustRightInd w:val="0"/>
      <w:spacing w:line="240" w:lineRule="atLeast"/>
      <w:ind w:firstLine="0" w:firstLineChars="0"/>
      <w:textAlignment w:val="baseline"/>
    </w:pPr>
    <w:rPr>
      <w:rFonts w:eastAsia="微软雅黑"/>
      <w:snapToGrid/>
      <w:kern w:val="0"/>
      <w:sz w:val="24"/>
      <w:szCs w:val="24"/>
    </w:rPr>
  </w:style>
  <w:style w:type="paragraph" w:customStyle="1" w:styleId="70">
    <w:name w:val="TOC 标题2"/>
    <w:basedOn w:val="1"/>
    <w:next w:val="1"/>
    <w:qFormat/>
    <w:uiPriority w:val="0"/>
    <w:pPr>
      <w:adjustRightInd w:val="0"/>
      <w:spacing w:line="240" w:lineRule="atLeast"/>
      <w:ind w:firstLine="0" w:firstLineChars="0"/>
      <w:textAlignment w:val="baseline"/>
    </w:pPr>
    <w:rPr>
      <w:rFonts w:eastAsia="微软雅黑"/>
      <w:snapToGrid/>
      <w:kern w:val="0"/>
      <w:sz w:val="24"/>
      <w:szCs w:val="20"/>
    </w:rPr>
  </w:style>
  <w:style w:type="paragraph" w:customStyle="1" w:styleId="71">
    <w:name w:val="_Style 2"/>
    <w:basedOn w:val="2"/>
    <w:next w:val="1"/>
    <w:qFormat/>
    <w:uiPriority w:val="39"/>
    <w:pPr>
      <w:widowControl/>
      <w:spacing w:before="480" w:line="276" w:lineRule="auto"/>
      <w:jc w:val="left"/>
      <w:outlineLvl w:val="9"/>
    </w:pPr>
    <w:rPr>
      <w:rFonts w:ascii="Cambria" w:hAnsi="Cambria"/>
      <w:bCs/>
      <w:color w:val="365F91"/>
      <w:kern w:val="0"/>
      <w:sz w:val="28"/>
      <w:szCs w:val="28"/>
    </w:rPr>
  </w:style>
  <w:style w:type="paragraph" w:customStyle="1" w:styleId="72">
    <w:name w:val="Revision"/>
    <w:unhideWhenUsed/>
    <w:qFormat/>
    <w:uiPriority w:val="99"/>
    <w:rPr>
      <w:rFonts w:ascii="Times New Roman" w:hAnsi="Times New Roman" w:eastAsia="仿宋_GB2312" w:cs="Times New Roman"/>
      <w:snapToGrid w:val="0"/>
      <w:kern w:val="2"/>
      <w:sz w:val="28"/>
      <w:szCs w:val="18"/>
      <w:lang w:val="en-US" w:eastAsia="zh-CN" w:bidi="ar-SA"/>
    </w:rPr>
  </w:style>
  <w:style w:type="paragraph" w:customStyle="1" w:styleId="73">
    <w:name w:val="表内文字"/>
    <w:basedOn w:val="1"/>
    <w:link w:val="84"/>
    <w:qFormat/>
    <w:uiPriority w:val="0"/>
    <w:pPr>
      <w:spacing w:line="240" w:lineRule="auto"/>
      <w:ind w:firstLine="0" w:firstLineChars="0"/>
      <w:jc w:val="center"/>
    </w:pPr>
    <w:rPr>
      <w:rFonts w:eastAsia="楷体"/>
      <w:snapToGrid/>
      <w:sz w:val="24"/>
      <w:szCs w:val="24"/>
    </w:rPr>
  </w:style>
  <w:style w:type="paragraph" w:customStyle="1" w:styleId="74">
    <w:name w:val="正文1"/>
    <w:basedOn w:val="1"/>
    <w:qFormat/>
    <w:uiPriority w:val="0"/>
    <w:rPr>
      <w:rFonts w:ascii="仿宋" w:hAnsi="仿宋" w:eastAsia="仿宋"/>
      <w:szCs w:val="28"/>
    </w:rPr>
  </w:style>
  <w:style w:type="paragraph" w:customStyle="1" w:styleId="75">
    <w:name w:val="列出段落11"/>
    <w:basedOn w:val="1"/>
    <w:qFormat/>
    <w:uiPriority w:val="34"/>
    <w:pPr>
      <w:ind w:firstLine="420"/>
    </w:pPr>
  </w:style>
  <w:style w:type="paragraph" w:customStyle="1" w:styleId="7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7">
    <w:name w:val="标题4"/>
    <w:basedOn w:val="1"/>
    <w:next w:val="5"/>
    <w:qFormat/>
    <w:uiPriority w:val="0"/>
    <w:pPr>
      <w:spacing w:line="240" w:lineRule="auto"/>
      <w:ind w:firstLine="0" w:firstLineChars="0"/>
    </w:pPr>
    <w:rPr>
      <w:rFonts w:ascii="Calibri" w:hAnsi="Calibri" w:eastAsia="宋体" w:cs="黑体"/>
      <w:snapToGrid/>
      <w:sz w:val="24"/>
      <w:szCs w:val="22"/>
    </w:rPr>
  </w:style>
  <w:style w:type="paragraph" w:customStyle="1" w:styleId="78">
    <w:name w:val="p0"/>
    <w:basedOn w:val="1"/>
    <w:qFormat/>
    <w:uiPriority w:val="0"/>
    <w:pPr>
      <w:widowControl/>
      <w:spacing w:line="240" w:lineRule="auto"/>
      <w:ind w:firstLine="0" w:firstLineChars="0"/>
    </w:pPr>
    <w:rPr>
      <w:rFonts w:eastAsia="宋体" w:cs="宋体"/>
      <w:snapToGrid/>
      <w:sz w:val="21"/>
      <w:szCs w:val="21"/>
    </w:rPr>
  </w:style>
  <w:style w:type="paragraph" w:customStyle="1" w:styleId="79">
    <w:name w:val="修订1"/>
    <w:semiHidden/>
    <w:qFormat/>
    <w:uiPriority w:val="0"/>
    <w:rPr>
      <w:rFonts w:ascii="Times New Roman" w:hAnsi="Times New Roman" w:eastAsia="宋体" w:cs="Times New Roman"/>
      <w:kern w:val="2"/>
      <w:sz w:val="21"/>
      <w:szCs w:val="22"/>
      <w:lang w:val="en-US" w:eastAsia="zh-CN" w:bidi="ar-SA"/>
    </w:rPr>
  </w:style>
  <w:style w:type="paragraph" w:customStyle="1" w:styleId="80">
    <w:name w:val="Table Paragraph"/>
    <w:basedOn w:val="1"/>
    <w:qFormat/>
    <w:uiPriority w:val="1"/>
    <w:pPr>
      <w:autoSpaceDE w:val="0"/>
      <w:autoSpaceDN w:val="0"/>
      <w:spacing w:line="240" w:lineRule="auto"/>
      <w:ind w:firstLine="0" w:firstLineChars="0"/>
      <w:jc w:val="center"/>
    </w:pPr>
    <w:rPr>
      <w:rFonts w:ascii="仿宋" w:hAnsi="仿宋" w:eastAsia="仿宋" w:cs="仿宋"/>
      <w:snapToGrid/>
      <w:kern w:val="0"/>
      <w:sz w:val="22"/>
      <w:szCs w:val="22"/>
      <w:lang w:eastAsia="en-US"/>
    </w:rPr>
  </w:style>
  <w:style w:type="paragraph" w:styleId="81">
    <w:name w:val="List Paragraph"/>
    <w:basedOn w:val="1"/>
    <w:qFormat/>
    <w:uiPriority w:val="34"/>
    <w:pPr>
      <w:widowControl/>
      <w:spacing w:line="240" w:lineRule="auto"/>
      <w:ind w:firstLine="420"/>
      <w:jc w:val="left"/>
    </w:pPr>
    <w:rPr>
      <w:rFonts w:ascii="宋体" w:hAnsi="宋体" w:eastAsia="宋体" w:cs="宋体"/>
      <w:snapToGrid/>
      <w:kern w:val="0"/>
      <w:sz w:val="24"/>
      <w:szCs w:val="24"/>
    </w:rPr>
  </w:style>
  <w:style w:type="character" w:customStyle="1" w:styleId="82">
    <w:name w:val="标题 8 Char"/>
    <w:basedOn w:val="29"/>
    <w:link w:val="6"/>
    <w:semiHidden/>
    <w:qFormat/>
    <w:uiPriority w:val="9"/>
    <w:rPr>
      <w:rFonts w:asciiTheme="majorHAnsi" w:hAnsiTheme="majorHAnsi" w:eastAsiaTheme="majorEastAsia" w:cstheme="majorBidi"/>
      <w:snapToGrid w:val="0"/>
      <w:kern w:val="2"/>
      <w:sz w:val="24"/>
      <w:szCs w:val="24"/>
    </w:rPr>
  </w:style>
  <w:style w:type="character" w:customStyle="1" w:styleId="83">
    <w:name w:val="标题 8 Char1"/>
    <w:basedOn w:val="29"/>
    <w:qFormat/>
    <w:uiPriority w:val="9"/>
    <w:rPr>
      <w:b/>
      <w:bCs/>
      <w:kern w:val="44"/>
      <w:sz w:val="30"/>
      <w:szCs w:val="24"/>
    </w:rPr>
  </w:style>
  <w:style w:type="character" w:customStyle="1" w:styleId="84">
    <w:name w:val="表内文字 字符"/>
    <w:link w:val="73"/>
    <w:qFormat/>
    <w:uiPriority w:val="0"/>
    <w:rPr>
      <w:rFonts w:eastAsia="楷体"/>
      <w:kern w:val="2"/>
      <w:sz w:val="24"/>
      <w:szCs w:val="24"/>
    </w:rPr>
  </w:style>
  <w:style w:type="paragraph" w:customStyle="1" w:styleId="85">
    <w:name w:val="列出段落2"/>
    <w:basedOn w:val="1"/>
    <w:qFormat/>
    <w:uiPriority w:val="99"/>
    <w:pPr>
      <w:spacing w:line="240" w:lineRule="auto"/>
      <w:ind w:firstLine="420"/>
    </w:pPr>
    <w:rPr>
      <w:rFonts w:ascii="Calibri" w:hAnsi="Calibri" w:eastAsia="宋体" w:cs="黑体"/>
      <w:snapToGrid/>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13.wmf"/><Relationship Id="rId41" Type="http://schemas.openxmlformats.org/officeDocument/2006/relationships/oleObject" Target="embeddings/oleObject8.bin"/><Relationship Id="rId40" Type="http://schemas.openxmlformats.org/officeDocument/2006/relationships/image" Target="media/image12.wmf"/><Relationship Id="rId4" Type="http://schemas.openxmlformats.org/officeDocument/2006/relationships/endnotes" Target="endnotes.xml"/><Relationship Id="rId39" Type="http://schemas.openxmlformats.org/officeDocument/2006/relationships/oleObject" Target="embeddings/oleObject7.bin"/><Relationship Id="rId38" Type="http://schemas.openxmlformats.org/officeDocument/2006/relationships/image" Target="media/image11.wmf"/><Relationship Id="rId37" Type="http://schemas.openxmlformats.org/officeDocument/2006/relationships/oleObject" Target="embeddings/oleObject6.bin"/><Relationship Id="rId36" Type="http://schemas.openxmlformats.org/officeDocument/2006/relationships/image" Target="media/image10.wmf"/><Relationship Id="rId35" Type="http://schemas.openxmlformats.org/officeDocument/2006/relationships/oleObject" Target="embeddings/oleObject5.bin"/><Relationship Id="rId34" Type="http://schemas.openxmlformats.org/officeDocument/2006/relationships/image" Target="media/image9.wmf"/><Relationship Id="rId33" Type="http://schemas.openxmlformats.org/officeDocument/2006/relationships/oleObject" Target="embeddings/oleObject4.bin"/><Relationship Id="rId32" Type="http://schemas.openxmlformats.org/officeDocument/2006/relationships/image" Target="media/image8.wmf"/><Relationship Id="rId31" Type="http://schemas.openxmlformats.org/officeDocument/2006/relationships/oleObject" Target="embeddings/oleObject3.bin"/><Relationship Id="rId30" Type="http://schemas.openxmlformats.org/officeDocument/2006/relationships/image" Target="media/image7.wmf"/><Relationship Id="rId3" Type="http://schemas.openxmlformats.org/officeDocument/2006/relationships/footnotes" Target="footnotes.xml"/><Relationship Id="rId29" Type="http://schemas.openxmlformats.org/officeDocument/2006/relationships/oleObject" Target="embeddings/oleObject2.bin"/><Relationship Id="rId28" Type="http://schemas.openxmlformats.org/officeDocument/2006/relationships/image" Target="media/image6.wmf"/><Relationship Id="rId27" Type="http://schemas.openxmlformats.org/officeDocument/2006/relationships/oleObject" Target="embeddings/oleObject1.bin"/><Relationship Id="rId26" Type="http://schemas.openxmlformats.org/officeDocument/2006/relationships/image" Target="media/image5.png"/><Relationship Id="rId25" Type="http://schemas.openxmlformats.org/officeDocument/2006/relationships/image" Target="media/image4.png"/><Relationship Id="rId24" Type="http://schemas.openxmlformats.org/officeDocument/2006/relationships/image" Target="media/image3.png"/><Relationship Id="rId23" Type="http://schemas.openxmlformats.org/officeDocument/2006/relationships/image" Target="media/image2.png"/><Relationship Id="rId22" Type="http://schemas.openxmlformats.org/officeDocument/2006/relationships/image" Target="media/image1.jpeg"/><Relationship Id="rId21" Type="http://schemas.openxmlformats.org/officeDocument/2006/relationships/theme" Target="theme/theme1.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33</Pages>
  <Words>11467</Words>
  <Characters>13435</Characters>
  <Lines>126</Lines>
  <Paragraphs>35</Paragraphs>
  <TotalTime>37</TotalTime>
  <ScaleCrop>false</ScaleCrop>
  <LinksUpToDate>false</LinksUpToDate>
  <CharactersWithSpaces>13664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2024-04-11T12:11:00Z</dcterms:created>
  <dc:creator>Administrator</dc:creator>
  <cp:lastModifiedBy>Astronaut_</cp:lastModifiedBy>
  <cp:lastPrinted>2016-01-31T07:40:00Z</cp:lastPrinted>
  <dcterms:modified xsi:type="dcterms:W3CDTF">2024-08-26T07:11:48Z</dcterms:modified>
  <dc:title>核 查 报 告 大 纲</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6061066A51434636B6C3FA70871ABB63_13</vt:lpwstr>
  </property>
</Properties>
</file>